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A7B" w:rsidRPr="00047B3A" w:rsidRDefault="00D25E60" w:rsidP="00D25E60">
      <w:pPr>
        <w:spacing w:after="0" w:line="240" w:lineRule="auto"/>
        <w:rPr>
          <w:rFonts w:ascii="Times New Roman" w:hAnsi="Times New Roman" w:cs="Times New Roman"/>
          <w:sz w:val="24"/>
          <w:szCs w:val="24"/>
        </w:rPr>
      </w:pPr>
      <w:r w:rsidRPr="00047B3A">
        <w:rPr>
          <w:rFonts w:ascii="Times New Roman" w:hAnsi="Times New Roman" w:cs="Times New Roman"/>
          <w:sz w:val="24"/>
          <w:szCs w:val="24"/>
        </w:rPr>
        <w:t>MCLOUD ZVAVOVAVIRI MAPANGA</w:t>
      </w:r>
    </w:p>
    <w:p w:rsidR="00D25E60" w:rsidRPr="00047B3A" w:rsidRDefault="00A05112" w:rsidP="00D25E60">
      <w:pPr>
        <w:spacing w:after="0" w:line="240" w:lineRule="auto"/>
        <w:rPr>
          <w:rFonts w:ascii="Times New Roman" w:hAnsi="Times New Roman" w:cs="Times New Roman"/>
          <w:sz w:val="24"/>
          <w:szCs w:val="24"/>
        </w:rPr>
      </w:pPr>
      <w:proofErr w:type="gramStart"/>
      <w:r w:rsidRPr="00047B3A">
        <w:rPr>
          <w:rFonts w:ascii="Times New Roman" w:hAnsi="Times New Roman" w:cs="Times New Roman"/>
          <w:sz w:val="24"/>
          <w:szCs w:val="24"/>
        </w:rPr>
        <w:t>v</w:t>
      </w:r>
      <w:r w:rsidR="00D25E60" w:rsidRPr="00047B3A">
        <w:rPr>
          <w:rFonts w:ascii="Times New Roman" w:hAnsi="Times New Roman" w:cs="Times New Roman"/>
          <w:sz w:val="24"/>
          <w:szCs w:val="24"/>
        </w:rPr>
        <w:t>ersus</w:t>
      </w:r>
      <w:proofErr w:type="gramEnd"/>
    </w:p>
    <w:p w:rsidR="00D25E60" w:rsidRPr="00047B3A" w:rsidRDefault="00D25E60" w:rsidP="00D25E60">
      <w:pPr>
        <w:spacing w:after="0" w:line="240" w:lineRule="auto"/>
        <w:rPr>
          <w:rFonts w:ascii="Times New Roman" w:hAnsi="Times New Roman" w:cs="Times New Roman"/>
          <w:sz w:val="24"/>
          <w:szCs w:val="24"/>
        </w:rPr>
      </w:pPr>
      <w:r w:rsidRPr="00047B3A">
        <w:rPr>
          <w:rFonts w:ascii="Times New Roman" w:hAnsi="Times New Roman" w:cs="Times New Roman"/>
          <w:sz w:val="24"/>
          <w:szCs w:val="24"/>
        </w:rPr>
        <w:t>ALFRED CHAPUPU MASANGA</w:t>
      </w:r>
    </w:p>
    <w:p w:rsidR="00D25E60" w:rsidRPr="00047B3A" w:rsidRDefault="00A05112" w:rsidP="00D25E60">
      <w:pPr>
        <w:spacing w:after="0" w:line="240" w:lineRule="auto"/>
        <w:rPr>
          <w:rFonts w:ascii="Times New Roman" w:hAnsi="Times New Roman" w:cs="Times New Roman"/>
          <w:sz w:val="24"/>
          <w:szCs w:val="24"/>
        </w:rPr>
      </w:pPr>
      <w:proofErr w:type="gramStart"/>
      <w:r w:rsidRPr="00047B3A">
        <w:rPr>
          <w:rFonts w:ascii="Times New Roman" w:hAnsi="Times New Roman" w:cs="Times New Roman"/>
          <w:sz w:val="24"/>
          <w:szCs w:val="24"/>
        </w:rPr>
        <w:t>a</w:t>
      </w:r>
      <w:r w:rsidR="00D25E60" w:rsidRPr="00047B3A">
        <w:rPr>
          <w:rFonts w:ascii="Times New Roman" w:hAnsi="Times New Roman" w:cs="Times New Roman"/>
          <w:sz w:val="24"/>
          <w:szCs w:val="24"/>
        </w:rPr>
        <w:t>nd</w:t>
      </w:r>
      <w:proofErr w:type="gramEnd"/>
    </w:p>
    <w:p w:rsidR="00D25E60" w:rsidRPr="00047B3A" w:rsidRDefault="00D25E60" w:rsidP="00D25E60">
      <w:pPr>
        <w:spacing w:after="0" w:line="240" w:lineRule="auto"/>
        <w:rPr>
          <w:rFonts w:ascii="Times New Roman" w:hAnsi="Times New Roman" w:cs="Times New Roman"/>
          <w:sz w:val="24"/>
          <w:szCs w:val="24"/>
        </w:rPr>
      </w:pPr>
      <w:r w:rsidRPr="00047B3A">
        <w:rPr>
          <w:rFonts w:ascii="Times New Roman" w:hAnsi="Times New Roman" w:cs="Times New Roman"/>
          <w:sz w:val="24"/>
          <w:szCs w:val="24"/>
        </w:rPr>
        <w:t>REGISTRAR OF DEEDS</w:t>
      </w:r>
    </w:p>
    <w:p w:rsidR="00A05112" w:rsidRPr="00047B3A" w:rsidRDefault="00A05112" w:rsidP="00D25E60">
      <w:pPr>
        <w:spacing w:after="0" w:line="240" w:lineRule="auto"/>
        <w:rPr>
          <w:rFonts w:ascii="Times New Roman" w:hAnsi="Times New Roman" w:cs="Times New Roman"/>
          <w:sz w:val="24"/>
          <w:szCs w:val="24"/>
        </w:rPr>
      </w:pPr>
    </w:p>
    <w:p w:rsidR="00A05112" w:rsidRPr="00047B3A" w:rsidRDefault="00A05112" w:rsidP="00D25E60">
      <w:pPr>
        <w:spacing w:after="0" w:line="240" w:lineRule="auto"/>
        <w:rPr>
          <w:rFonts w:ascii="Times New Roman" w:hAnsi="Times New Roman" w:cs="Times New Roman"/>
          <w:sz w:val="24"/>
          <w:szCs w:val="24"/>
        </w:rPr>
      </w:pPr>
    </w:p>
    <w:p w:rsidR="00A05112" w:rsidRPr="00047B3A" w:rsidRDefault="00A05112" w:rsidP="00D25E60">
      <w:pPr>
        <w:spacing w:after="0" w:line="240" w:lineRule="auto"/>
        <w:rPr>
          <w:rFonts w:ascii="Times New Roman" w:hAnsi="Times New Roman" w:cs="Times New Roman"/>
          <w:sz w:val="24"/>
          <w:szCs w:val="24"/>
        </w:rPr>
      </w:pPr>
      <w:r w:rsidRPr="00047B3A">
        <w:rPr>
          <w:rFonts w:ascii="Times New Roman" w:hAnsi="Times New Roman" w:cs="Times New Roman"/>
          <w:sz w:val="24"/>
          <w:szCs w:val="24"/>
        </w:rPr>
        <w:t>HIGH COURT OF ZIMBABWE</w:t>
      </w:r>
    </w:p>
    <w:p w:rsidR="00A05112" w:rsidRPr="00047B3A" w:rsidRDefault="00A05112" w:rsidP="00D25E60">
      <w:pPr>
        <w:spacing w:after="0" w:line="240" w:lineRule="auto"/>
        <w:rPr>
          <w:rFonts w:ascii="Times New Roman" w:hAnsi="Times New Roman" w:cs="Times New Roman"/>
          <w:sz w:val="24"/>
          <w:szCs w:val="24"/>
        </w:rPr>
      </w:pPr>
      <w:r w:rsidRPr="00047B3A">
        <w:rPr>
          <w:rFonts w:ascii="Times New Roman" w:hAnsi="Times New Roman" w:cs="Times New Roman"/>
          <w:sz w:val="24"/>
          <w:szCs w:val="24"/>
        </w:rPr>
        <w:t>BERE J</w:t>
      </w:r>
    </w:p>
    <w:p w:rsidR="00A05112" w:rsidRPr="00047B3A" w:rsidRDefault="00A05112" w:rsidP="00D25E60">
      <w:pPr>
        <w:spacing w:after="0" w:line="240" w:lineRule="auto"/>
        <w:rPr>
          <w:rFonts w:ascii="Times New Roman" w:hAnsi="Times New Roman" w:cs="Times New Roman"/>
          <w:sz w:val="24"/>
          <w:szCs w:val="24"/>
        </w:rPr>
      </w:pPr>
      <w:r w:rsidRPr="00047B3A">
        <w:rPr>
          <w:rFonts w:ascii="Times New Roman" w:hAnsi="Times New Roman" w:cs="Times New Roman"/>
          <w:sz w:val="24"/>
          <w:szCs w:val="24"/>
        </w:rPr>
        <w:t>HARARE, 11, 12, 19 November 2009 &amp; 21 May 2012</w:t>
      </w:r>
      <w:r w:rsidR="00555266">
        <w:rPr>
          <w:rFonts w:ascii="Times New Roman" w:hAnsi="Times New Roman" w:cs="Times New Roman"/>
          <w:sz w:val="24"/>
          <w:szCs w:val="24"/>
        </w:rPr>
        <w:t xml:space="preserve"> &amp; 6 June 2012</w:t>
      </w:r>
      <w:bookmarkStart w:id="0" w:name="_GoBack"/>
      <w:bookmarkEnd w:id="0"/>
    </w:p>
    <w:p w:rsidR="00A05112" w:rsidRPr="00047B3A" w:rsidRDefault="00A05112" w:rsidP="00D25E60">
      <w:pPr>
        <w:spacing w:after="0" w:line="240" w:lineRule="auto"/>
        <w:rPr>
          <w:rFonts w:ascii="Times New Roman" w:hAnsi="Times New Roman" w:cs="Times New Roman"/>
          <w:sz w:val="24"/>
          <w:szCs w:val="24"/>
        </w:rPr>
      </w:pPr>
    </w:p>
    <w:p w:rsidR="00A05112" w:rsidRPr="00047B3A" w:rsidRDefault="00A05112" w:rsidP="00D25E60">
      <w:pPr>
        <w:spacing w:after="0" w:line="240" w:lineRule="auto"/>
        <w:rPr>
          <w:rFonts w:ascii="Times New Roman" w:hAnsi="Times New Roman" w:cs="Times New Roman"/>
          <w:sz w:val="24"/>
          <w:szCs w:val="24"/>
        </w:rPr>
      </w:pPr>
    </w:p>
    <w:p w:rsidR="00A05112" w:rsidRPr="00047B3A" w:rsidRDefault="00A05112" w:rsidP="00D25E60">
      <w:pPr>
        <w:spacing w:after="0" w:line="240" w:lineRule="auto"/>
        <w:rPr>
          <w:rFonts w:ascii="Times New Roman" w:hAnsi="Times New Roman" w:cs="Times New Roman"/>
          <w:b/>
          <w:sz w:val="24"/>
          <w:szCs w:val="24"/>
        </w:rPr>
      </w:pPr>
      <w:r w:rsidRPr="00047B3A">
        <w:rPr>
          <w:rFonts w:ascii="Times New Roman" w:hAnsi="Times New Roman" w:cs="Times New Roman"/>
          <w:b/>
          <w:sz w:val="24"/>
          <w:szCs w:val="24"/>
        </w:rPr>
        <w:t>Civil Trial</w:t>
      </w:r>
    </w:p>
    <w:p w:rsidR="00A05112" w:rsidRPr="00047B3A" w:rsidRDefault="00A05112" w:rsidP="00D25E60">
      <w:pPr>
        <w:spacing w:after="0" w:line="240" w:lineRule="auto"/>
        <w:rPr>
          <w:rFonts w:ascii="Times New Roman" w:hAnsi="Times New Roman" w:cs="Times New Roman"/>
          <w:b/>
          <w:sz w:val="24"/>
          <w:szCs w:val="24"/>
        </w:rPr>
      </w:pPr>
    </w:p>
    <w:p w:rsidR="00A05112" w:rsidRPr="00047B3A" w:rsidRDefault="00A05112" w:rsidP="00D25E60">
      <w:pPr>
        <w:spacing w:after="0" w:line="240" w:lineRule="auto"/>
        <w:rPr>
          <w:rFonts w:ascii="Times New Roman" w:hAnsi="Times New Roman" w:cs="Times New Roman"/>
          <w:sz w:val="24"/>
          <w:szCs w:val="24"/>
        </w:rPr>
      </w:pPr>
      <w:r w:rsidRPr="00047B3A">
        <w:rPr>
          <w:rFonts w:ascii="Times New Roman" w:hAnsi="Times New Roman" w:cs="Times New Roman"/>
          <w:i/>
          <w:sz w:val="24"/>
          <w:szCs w:val="24"/>
        </w:rPr>
        <w:t xml:space="preserve">N. </w:t>
      </w:r>
      <w:proofErr w:type="spellStart"/>
      <w:r w:rsidRPr="00047B3A">
        <w:rPr>
          <w:rFonts w:ascii="Times New Roman" w:hAnsi="Times New Roman" w:cs="Times New Roman"/>
          <w:i/>
          <w:sz w:val="24"/>
          <w:szCs w:val="24"/>
        </w:rPr>
        <w:t>Muhloro</w:t>
      </w:r>
      <w:proofErr w:type="spellEnd"/>
      <w:r w:rsidRPr="00047B3A">
        <w:rPr>
          <w:rFonts w:ascii="Times New Roman" w:hAnsi="Times New Roman" w:cs="Times New Roman"/>
          <w:sz w:val="24"/>
          <w:szCs w:val="24"/>
        </w:rPr>
        <w:t>, plaintiff’s legal practitioners</w:t>
      </w:r>
    </w:p>
    <w:p w:rsidR="00A05112" w:rsidRPr="00047B3A" w:rsidRDefault="00A05112" w:rsidP="00D25E60">
      <w:pPr>
        <w:spacing w:after="0" w:line="240" w:lineRule="auto"/>
        <w:rPr>
          <w:rFonts w:ascii="Times New Roman" w:hAnsi="Times New Roman" w:cs="Times New Roman"/>
          <w:sz w:val="24"/>
          <w:szCs w:val="24"/>
        </w:rPr>
      </w:pPr>
      <w:r w:rsidRPr="00047B3A">
        <w:rPr>
          <w:rFonts w:ascii="Times New Roman" w:hAnsi="Times New Roman" w:cs="Times New Roman"/>
          <w:i/>
          <w:sz w:val="24"/>
          <w:szCs w:val="24"/>
        </w:rPr>
        <w:t xml:space="preserve">F. </w:t>
      </w:r>
      <w:proofErr w:type="spellStart"/>
      <w:r w:rsidRPr="00047B3A">
        <w:rPr>
          <w:rFonts w:ascii="Times New Roman" w:hAnsi="Times New Roman" w:cs="Times New Roman"/>
          <w:i/>
          <w:sz w:val="24"/>
          <w:szCs w:val="24"/>
        </w:rPr>
        <w:t>Murisi</w:t>
      </w:r>
      <w:proofErr w:type="spellEnd"/>
      <w:r w:rsidRPr="00047B3A">
        <w:rPr>
          <w:rFonts w:ascii="Times New Roman" w:hAnsi="Times New Roman" w:cs="Times New Roman"/>
          <w:sz w:val="24"/>
          <w:szCs w:val="24"/>
        </w:rPr>
        <w:t>, defendant legal practitioners</w:t>
      </w:r>
    </w:p>
    <w:p w:rsidR="00A05112" w:rsidRPr="00047B3A" w:rsidRDefault="00A05112" w:rsidP="00D25E60">
      <w:pPr>
        <w:spacing w:after="0" w:line="240" w:lineRule="auto"/>
        <w:rPr>
          <w:rFonts w:ascii="Times New Roman" w:hAnsi="Times New Roman" w:cs="Times New Roman"/>
          <w:sz w:val="24"/>
          <w:szCs w:val="24"/>
        </w:rPr>
      </w:pPr>
    </w:p>
    <w:p w:rsidR="00A05112" w:rsidRPr="00047B3A" w:rsidRDefault="00A05112" w:rsidP="00A05112">
      <w:pPr>
        <w:spacing w:after="0" w:line="360" w:lineRule="auto"/>
        <w:jc w:val="both"/>
        <w:rPr>
          <w:rFonts w:ascii="Times New Roman" w:hAnsi="Times New Roman" w:cs="Times New Roman"/>
          <w:sz w:val="24"/>
          <w:szCs w:val="24"/>
        </w:rPr>
      </w:pPr>
      <w:r w:rsidRPr="00047B3A">
        <w:rPr>
          <w:rFonts w:ascii="Times New Roman" w:hAnsi="Times New Roman" w:cs="Times New Roman"/>
          <w:sz w:val="24"/>
          <w:szCs w:val="24"/>
        </w:rPr>
        <w:tab/>
        <w:t xml:space="preserve">BERE J: On 24 July 2008 the plaintiff issued out summons in this Court against the defendant seeking to compel the defendant to transfer stand number 623 Highway </w:t>
      </w:r>
      <w:proofErr w:type="spellStart"/>
      <w:r w:rsidRPr="00047B3A">
        <w:rPr>
          <w:rFonts w:ascii="Times New Roman" w:hAnsi="Times New Roman" w:cs="Times New Roman"/>
          <w:sz w:val="24"/>
          <w:szCs w:val="24"/>
        </w:rPr>
        <w:t>Chinhoyi</w:t>
      </w:r>
      <w:proofErr w:type="spellEnd"/>
      <w:r w:rsidRPr="00047B3A">
        <w:rPr>
          <w:rFonts w:ascii="Times New Roman" w:hAnsi="Times New Roman" w:cs="Times New Roman"/>
          <w:sz w:val="24"/>
          <w:szCs w:val="24"/>
        </w:rPr>
        <w:t xml:space="preserve"> into the plaintiff’s name and other ancillary relief.</w:t>
      </w:r>
    </w:p>
    <w:p w:rsidR="00A05112" w:rsidRPr="00047B3A" w:rsidRDefault="00A05112" w:rsidP="00A05112">
      <w:pPr>
        <w:spacing w:after="0" w:line="360" w:lineRule="auto"/>
        <w:jc w:val="both"/>
        <w:rPr>
          <w:rFonts w:ascii="Times New Roman" w:hAnsi="Times New Roman" w:cs="Times New Roman"/>
          <w:sz w:val="24"/>
          <w:szCs w:val="24"/>
        </w:rPr>
      </w:pPr>
      <w:r w:rsidRPr="00047B3A">
        <w:rPr>
          <w:rFonts w:ascii="Times New Roman" w:hAnsi="Times New Roman" w:cs="Times New Roman"/>
          <w:sz w:val="24"/>
          <w:szCs w:val="24"/>
        </w:rPr>
        <w:tab/>
        <w:t>The claim arose from the alleged sale agreement which the plaintiff claimed to have entered into with the defendant.</w:t>
      </w:r>
    </w:p>
    <w:p w:rsidR="007251EA" w:rsidRPr="00047B3A" w:rsidRDefault="00A05112" w:rsidP="00A05112">
      <w:pPr>
        <w:spacing w:after="0" w:line="360" w:lineRule="auto"/>
        <w:jc w:val="both"/>
        <w:rPr>
          <w:rFonts w:ascii="Times New Roman" w:hAnsi="Times New Roman" w:cs="Times New Roman"/>
          <w:sz w:val="24"/>
          <w:szCs w:val="24"/>
        </w:rPr>
      </w:pPr>
      <w:r w:rsidRPr="00047B3A">
        <w:rPr>
          <w:rFonts w:ascii="Times New Roman" w:hAnsi="Times New Roman" w:cs="Times New Roman"/>
          <w:sz w:val="24"/>
          <w:szCs w:val="24"/>
        </w:rPr>
        <w:tab/>
        <w:t>Subsequently and mainly due to the impact of dollarization the plaintiff had to amend his claim in order for the value of the property to be reflected in the appropriate currency</w:t>
      </w:r>
      <w:r w:rsidR="006F7863">
        <w:rPr>
          <w:rFonts w:ascii="Times New Roman" w:hAnsi="Times New Roman" w:cs="Times New Roman"/>
          <w:sz w:val="24"/>
          <w:szCs w:val="24"/>
        </w:rPr>
        <w:t xml:space="preserve"> - </w:t>
      </w:r>
      <w:r w:rsidRPr="00047B3A">
        <w:rPr>
          <w:rFonts w:ascii="Times New Roman" w:hAnsi="Times New Roman" w:cs="Times New Roman"/>
          <w:sz w:val="24"/>
          <w:szCs w:val="24"/>
        </w:rPr>
        <w:t xml:space="preserve"> the currency in force now. The content</w:t>
      </w:r>
      <w:r w:rsidR="007251EA" w:rsidRPr="00047B3A">
        <w:rPr>
          <w:rFonts w:ascii="Times New Roman" w:hAnsi="Times New Roman" w:cs="Times New Roman"/>
          <w:sz w:val="24"/>
          <w:szCs w:val="24"/>
        </w:rPr>
        <w:t xml:space="preserve"> of the summons itself did not change serve for the pegging of the value of the property in question at US$55 000-00.</w:t>
      </w:r>
    </w:p>
    <w:p w:rsidR="007251EA" w:rsidRPr="00047B3A" w:rsidRDefault="007251EA" w:rsidP="00A05112">
      <w:pPr>
        <w:spacing w:after="0" w:line="360" w:lineRule="auto"/>
        <w:jc w:val="both"/>
        <w:rPr>
          <w:rFonts w:ascii="Times New Roman" w:hAnsi="Times New Roman" w:cs="Times New Roman"/>
          <w:sz w:val="24"/>
          <w:szCs w:val="24"/>
        </w:rPr>
      </w:pPr>
      <w:r w:rsidRPr="00047B3A">
        <w:rPr>
          <w:rFonts w:ascii="Times New Roman" w:hAnsi="Times New Roman" w:cs="Times New Roman"/>
          <w:sz w:val="24"/>
          <w:szCs w:val="24"/>
        </w:rPr>
        <w:tab/>
        <w:t>The basis of the plaintiff’s action as can be gleaned from both his original and amended declaration is that sometime in 2000</w:t>
      </w:r>
      <w:r w:rsidR="00D20948" w:rsidRPr="00047B3A">
        <w:rPr>
          <w:rFonts w:ascii="Times New Roman" w:hAnsi="Times New Roman" w:cs="Times New Roman"/>
          <w:sz w:val="24"/>
          <w:szCs w:val="24"/>
        </w:rPr>
        <w:t xml:space="preserve"> </w:t>
      </w:r>
      <w:r w:rsidRPr="00047B3A">
        <w:rPr>
          <w:rFonts w:ascii="Times New Roman" w:hAnsi="Times New Roman" w:cs="Times New Roman"/>
          <w:sz w:val="24"/>
          <w:szCs w:val="24"/>
        </w:rPr>
        <w:t xml:space="preserve">the plaintiff and the defendant entered into an agreement of sale of stand number 653 </w:t>
      </w:r>
      <w:proofErr w:type="spellStart"/>
      <w:r w:rsidRPr="00047B3A">
        <w:rPr>
          <w:rFonts w:ascii="Times New Roman" w:hAnsi="Times New Roman" w:cs="Times New Roman"/>
          <w:sz w:val="24"/>
          <w:szCs w:val="24"/>
        </w:rPr>
        <w:t>Sinoia</w:t>
      </w:r>
      <w:proofErr w:type="spellEnd"/>
      <w:r w:rsidRPr="00047B3A">
        <w:rPr>
          <w:rFonts w:ascii="Times New Roman" w:hAnsi="Times New Roman" w:cs="Times New Roman"/>
          <w:sz w:val="24"/>
          <w:szCs w:val="24"/>
        </w:rPr>
        <w:t xml:space="preserve"> Township measuring 2215m</w:t>
      </w:r>
      <w:r w:rsidRPr="00047B3A">
        <w:rPr>
          <w:rFonts w:ascii="Times New Roman" w:hAnsi="Times New Roman" w:cs="Times New Roman"/>
          <w:sz w:val="24"/>
          <w:szCs w:val="24"/>
          <w:vertAlign w:val="superscript"/>
        </w:rPr>
        <w:t>2</w:t>
      </w:r>
      <w:r w:rsidR="00A05112" w:rsidRPr="00047B3A">
        <w:rPr>
          <w:rFonts w:ascii="Times New Roman" w:hAnsi="Times New Roman" w:cs="Times New Roman"/>
          <w:sz w:val="24"/>
          <w:szCs w:val="24"/>
        </w:rPr>
        <w:t xml:space="preserve"> </w:t>
      </w:r>
      <w:r w:rsidRPr="00047B3A">
        <w:rPr>
          <w:rFonts w:ascii="Times New Roman" w:hAnsi="Times New Roman" w:cs="Times New Roman"/>
          <w:sz w:val="24"/>
          <w:szCs w:val="24"/>
        </w:rPr>
        <w:t xml:space="preserve">held under Deed of transfer No. 11088/99. The stand is popularly referred to as stand number 623 Highway, </w:t>
      </w:r>
      <w:proofErr w:type="spellStart"/>
      <w:r w:rsidRPr="00047B3A">
        <w:rPr>
          <w:rFonts w:ascii="Times New Roman" w:hAnsi="Times New Roman" w:cs="Times New Roman"/>
          <w:sz w:val="24"/>
          <w:szCs w:val="24"/>
        </w:rPr>
        <w:t>Chinhoyi</w:t>
      </w:r>
      <w:proofErr w:type="spellEnd"/>
      <w:r w:rsidRPr="00047B3A">
        <w:rPr>
          <w:rFonts w:ascii="Times New Roman" w:hAnsi="Times New Roman" w:cs="Times New Roman"/>
          <w:sz w:val="24"/>
          <w:szCs w:val="24"/>
        </w:rPr>
        <w:t>.</w:t>
      </w:r>
    </w:p>
    <w:p w:rsidR="00023EEC" w:rsidRPr="00047B3A" w:rsidRDefault="007251EA" w:rsidP="00A05112">
      <w:pPr>
        <w:spacing w:after="0" w:line="360" w:lineRule="auto"/>
        <w:jc w:val="both"/>
        <w:rPr>
          <w:rFonts w:ascii="Times New Roman" w:hAnsi="Times New Roman" w:cs="Times New Roman"/>
          <w:sz w:val="24"/>
          <w:szCs w:val="24"/>
        </w:rPr>
      </w:pPr>
      <w:r w:rsidRPr="00047B3A">
        <w:rPr>
          <w:rFonts w:ascii="Times New Roman" w:hAnsi="Times New Roman" w:cs="Times New Roman"/>
          <w:sz w:val="24"/>
          <w:szCs w:val="24"/>
        </w:rPr>
        <w:tab/>
        <w:t xml:space="preserve">The defendant’s position was a multifaceted one, starting with the special plea that the plaintiff’s claim had prescribed, and in the </w:t>
      </w:r>
      <w:r w:rsidR="006D52D9" w:rsidRPr="00047B3A">
        <w:rPr>
          <w:rFonts w:ascii="Times New Roman" w:hAnsi="Times New Roman" w:cs="Times New Roman"/>
          <w:sz w:val="24"/>
          <w:szCs w:val="24"/>
        </w:rPr>
        <w:t>alternative the defendant denied the e</w:t>
      </w:r>
      <w:r w:rsidR="00DC7ABE" w:rsidRPr="00047B3A">
        <w:rPr>
          <w:rFonts w:ascii="Times New Roman" w:hAnsi="Times New Roman" w:cs="Times New Roman"/>
          <w:sz w:val="24"/>
          <w:szCs w:val="24"/>
        </w:rPr>
        <w:t>x</w:t>
      </w:r>
      <w:r w:rsidR="006D52D9" w:rsidRPr="00047B3A">
        <w:rPr>
          <w:rFonts w:ascii="Times New Roman" w:hAnsi="Times New Roman" w:cs="Times New Roman"/>
          <w:sz w:val="24"/>
          <w:szCs w:val="24"/>
        </w:rPr>
        <w:t>istence o</w:t>
      </w:r>
      <w:r w:rsidR="00DC7ABE" w:rsidRPr="00047B3A">
        <w:rPr>
          <w:rFonts w:ascii="Times New Roman" w:hAnsi="Times New Roman" w:cs="Times New Roman"/>
          <w:sz w:val="24"/>
          <w:szCs w:val="24"/>
        </w:rPr>
        <w:t>f</w:t>
      </w:r>
      <w:r w:rsidR="006D52D9" w:rsidRPr="00047B3A">
        <w:rPr>
          <w:rFonts w:ascii="Times New Roman" w:hAnsi="Times New Roman" w:cs="Times New Roman"/>
          <w:sz w:val="24"/>
          <w:szCs w:val="24"/>
        </w:rPr>
        <w:t xml:space="preserve"> a sale agreement in his original plea</w:t>
      </w:r>
      <w:r w:rsidR="00DC7ABE" w:rsidRPr="00047B3A">
        <w:rPr>
          <w:rFonts w:ascii="Times New Roman" w:hAnsi="Times New Roman" w:cs="Times New Roman"/>
          <w:sz w:val="24"/>
          <w:szCs w:val="24"/>
        </w:rPr>
        <w:t>. When the defendant amended his plea pursuant to the plaintiff’s amended declaration, he then shifted and admitted the existence of a sale agreement which he was quick to qualify by alleging that it had be</w:t>
      </w:r>
      <w:r w:rsidR="00D20948" w:rsidRPr="00047B3A">
        <w:rPr>
          <w:rFonts w:ascii="Times New Roman" w:hAnsi="Times New Roman" w:cs="Times New Roman"/>
          <w:sz w:val="24"/>
          <w:szCs w:val="24"/>
        </w:rPr>
        <w:t>e</w:t>
      </w:r>
      <w:r w:rsidR="00DC7ABE" w:rsidRPr="00047B3A">
        <w:rPr>
          <w:rFonts w:ascii="Times New Roman" w:hAnsi="Times New Roman" w:cs="Times New Roman"/>
          <w:sz w:val="24"/>
          <w:szCs w:val="24"/>
        </w:rPr>
        <w:t xml:space="preserve">n mutually terminated by </w:t>
      </w:r>
      <w:r w:rsidR="00023EEC" w:rsidRPr="00047B3A">
        <w:rPr>
          <w:rFonts w:ascii="Times New Roman" w:hAnsi="Times New Roman" w:cs="Times New Roman"/>
          <w:sz w:val="24"/>
          <w:szCs w:val="24"/>
        </w:rPr>
        <w:t>the parties.</w:t>
      </w:r>
    </w:p>
    <w:p w:rsidR="00023EEC" w:rsidRPr="00047B3A" w:rsidRDefault="00023EEC" w:rsidP="00A05112">
      <w:pPr>
        <w:spacing w:after="0" w:line="360" w:lineRule="auto"/>
        <w:jc w:val="both"/>
        <w:rPr>
          <w:rFonts w:ascii="Times New Roman" w:hAnsi="Times New Roman" w:cs="Times New Roman"/>
          <w:sz w:val="24"/>
          <w:szCs w:val="24"/>
        </w:rPr>
      </w:pPr>
      <w:r w:rsidRPr="00047B3A">
        <w:rPr>
          <w:rFonts w:ascii="Times New Roman" w:hAnsi="Times New Roman" w:cs="Times New Roman"/>
          <w:sz w:val="24"/>
          <w:szCs w:val="24"/>
        </w:rPr>
        <w:lastRenderedPageBreak/>
        <w:tab/>
        <w:t xml:space="preserve">When the parties convened for a pre-trial conference on 24 September 2009 four issues were agreed upon, </w:t>
      </w:r>
      <w:proofErr w:type="spellStart"/>
      <w:r w:rsidRPr="00047B3A">
        <w:rPr>
          <w:rFonts w:ascii="Times New Roman" w:hAnsi="Times New Roman" w:cs="Times New Roman"/>
          <w:sz w:val="24"/>
          <w:szCs w:val="24"/>
        </w:rPr>
        <w:t>viz</w:t>
      </w:r>
      <w:proofErr w:type="spellEnd"/>
      <w:r w:rsidRPr="00047B3A">
        <w:rPr>
          <w:rFonts w:ascii="Times New Roman" w:hAnsi="Times New Roman" w:cs="Times New Roman"/>
          <w:sz w:val="24"/>
          <w:szCs w:val="24"/>
        </w:rPr>
        <w:t>:-</w:t>
      </w:r>
    </w:p>
    <w:p w:rsidR="00023EEC" w:rsidRPr="00047B3A" w:rsidRDefault="00D20948" w:rsidP="00023EEC">
      <w:pPr>
        <w:pStyle w:val="ListParagraph"/>
        <w:numPr>
          <w:ilvl w:val="0"/>
          <w:numId w:val="1"/>
        </w:numPr>
        <w:spacing w:after="0" w:line="360" w:lineRule="auto"/>
        <w:jc w:val="both"/>
        <w:rPr>
          <w:rFonts w:ascii="Times New Roman" w:hAnsi="Times New Roman" w:cs="Times New Roman"/>
          <w:sz w:val="24"/>
          <w:szCs w:val="24"/>
        </w:rPr>
      </w:pPr>
      <w:proofErr w:type="gramStart"/>
      <w:r w:rsidRPr="00047B3A">
        <w:rPr>
          <w:rFonts w:ascii="Times New Roman" w:hAnsi="Times New Roman" w:cs="Times New Roman"/>
          <w:sz w:val="24"/>
          <w:szCs w:val="24"/>
        </w:rPr>
        <w:t>w</w:t>
      </w:r>
      <w:r w:rsidR="00023EEC" w:rsidRPr="00047B3A">
        <w:rPr>
          <w:rFonts w:ascii="Times New Roman" w:hAnsi="Times New Roman" w:cs="Times New Roman"/>
          <w:sz w:val="24"/>
          <w:szCs w:val="24"/>
        </w:rPr>
        <w:t>hether</w:t>
      </w:r>
      <w:proofErr w:type="gramEnd"/>
      <w:r w:rsidR="00023EEC" w:rsidRPr="00047B3A">
        <w:rPr>
          <w:rFonts w:ascii="Times New Roman" w:hAnsi="Times New Roman" w:cs="Times New Roman"/>
          <w:sz w:val="24"/>
          <w:szCs w:val="24"/>
        </w:rPr>
        <w:t xml:space="preserve"> or not the claim has not prescribed.</w:t>
      </w:r>
    </w:p>
    <w:p w:rsidR="00023EEC" w:rsidRPr="00047B3A" w:rsidRDefault="00D20948" w:rsidP="00023EEC">
      <w:pPr>
        <w:pStyle w:val="ListParagraph"/>
        <w:numPr>
          <w:ilvl w:val="0"/>
          <w:numId w:val="1"/>
        </w:numPr>
        <w:spacing w:after="0" w:line="360" w:lineRule="auto"/>
        <w:jc w:val="both"/>
        <w:rPr>
          <w:rFonts w:ascii="Times New Roman" w:hAnsi="Times New Roman" w:cs="Times New Roman"/>
          <w:sz w:val="24"/>
          <w:szCs w:val="24"/>
        </w:rPr>
      </w:pPr>
      <w:proofErr w:type="gramStart"/>
      <w:r w:rsidRPr="00047B3A">
        <w:rPr>
          <w:rFonts w:ascii="Times New Roman" w:hAnsi="Times New Roman" w:cs="Times New Roman"/>
          <w:sz w:val="24"/>
          <w:szCs w:val="24"/>
        </w:rPr>
        <w:t>w</w:t>
      </w:r>
      <w:r w:rsidR="00023EEC" w:rsidRPr="00047B3A">
        <w:rPr>
          <w:rFonts w:ascii="Times New Roman" w:hAnsi="Times New Roman" w:cs="Times New Roman"/>
          <w:sz w:val="24"/>
          <w:szCs w:val="24"/>
        </w:rPr>
        <w:t>hether</w:t>
      </w:r>
      <w:proofErr w:type="gramEnd"/>
      <w:r w:rsidR="00023EEC" w:rsidRPr="00047B3A">
        <w:rPr>
          <w:rFonts w:ascii="Times New Roman" w:hAnsi="Times New Roman" w:cs="Times New Roman"/>
          <w:sz w:val="24"/>
          <w:szCs w:val="24"/>
        </w:rPr>
        <w:t xml:space="preserve"> or not the plaintiff has paid the purchase price in full.</w:t>
      </w:r>
    </w:p>
    <w:p w:rsidR="00023EEC" w:rsidRPr="00047B3A" w:rsidRDefault="00D20948" w:rsidP="00023EEC">
      <w:pPr>
        <w:pStyle w:val="ListParagraph"/>
        <w:numPr>
          <w:ilvl w:val="0"/>
          <w:numId w:val="1"/>
        </w:numPr>
        <w:spacing w:after="0" w:line="360" w:lineRule="auto"/>
        <w:jc w:val="both"/>
        <w:rPr>
          <w:rFonts w:ascii="Times New Roman" w:hAnsi="Times New Roman" w:cs="Times New Roman"/>
          <w:sz w:val="24"/>
          <w:szCs w:val="24"/>
        </w:rPr>
      </w:pPr>
      <w:r w:rsidRPr="00047B3A">
        <w:rPr>
          <w:rFonts w:ascii="Times New Roman" w:hAnsi="Times New Roman" w:cs="Times New Roman"/>
          <w:sz w:val="24"/>
          <w:szCs w:val="24"/>
        </w:rPr>
        <w:t>w</w:t>
      </w:r>
      <w:r w:rsidR="00023EEC" w:rsidRPr="00047B3A">
        <w:rPr>
          <w:rFonts w:ascii="Times New Roman" w:hAnsi="Times New Roman" w:cs="Times New Roman"/>
          <w:sz w:val="24"/>
          <w:szCs w:val="24"/>
        </w:rPr>
        <w:t>hether or not the agreement of sale was lawfully cancelled; and</w:t>
      </w:r>
    </w:p>
    <w:p w:rsidR="00023EEC" w:rsidRPr="00047B3A" w:rsidRDefault="00D20948" w:rsidP="00023EEC">
      <w:pPr>
        <w:pStyle w:val="ListParagraph"/>
        <w:numPr>
          <w:ilvl w:val="0"/>
          <w:numId w:val="1"/>
        </w:numPr>
        <w:spacing w:after="0" w:line="360" w:lineRule="auto"/>
        <w:jc w:val="both"/>
        <w:rPr>
          <w:rFonts w:ascii="Times New Roman" w:hAnsi="Times New Roman" w:cs="Times New Roman"/>
          <w:sz w:val="24"/>
          <w:szCs w:val="24"/>
        </w:rPr>
      </w:pPr>
      <w:proofErr w:type="gramStart"/>
      <w:r w:rsidRPr="00047B3A">
        <w:rPr>
          <w:rFonts w:ascii="Times New Roman" w:hAnsi="Times New Roman" w:cs="Times New Roman"/>
          <w:sz w:val="24"/>
          <w:szCs w:val="24"/>
        </w:rPr>
        <w:t>w</w:t>
      </w:r>
      <w:r w:rsidR="00023EEC" w:rsidRPr="00047B3A">
        <w:rPr>
          <w:rFonts w:ascii="Times New Roman" w:hAnsi="Times New Roman" w:cs="Times New Roman"/>
          <w:sz w:val="24"/>
          <w:szCs w:val="24"/>
        </w:rPr>
        <w:t>hether</w:t>
      </w:r>
      <w:proofErr w:type="gramEnd"/>
      <w:r w:rsidR="00023EEC" w:rsidRPr="00047B3A">
        <w:rPr>
          <w:rFonts w:ascii="Times New Roman" w:hAnsi="Times New Roman" w:cs="Times New Roman"/>
          <w:sz w:val="24"/>
          <w:szCs w:val="24"/>
        </w:rPr>
        <w:t xml:space="preserve"> or not the plaintiff is entitled to transfer of the property or damages.</w:t>
      </w:r>
    </w:p>
    <w:p w:rsidR="002608C1" w:rsidRPr="00047B3A" w:rsidRDefault="00023EEC" w:rsidP="002608C1">
      <w:pPr>
        <w:spacing w:after="0" w:line="360" w:lineRule="auto"/>
        <w:ind w:left="720"/>
        <w:jc w:val="both"/>
        <w:rPr>
          <w:rFonts w:ascii="Times New Roman" w:hAnsi="Times New Roman" w:cs="Times New Roman"/>
          <w:sz w:val="24"/>
          <w:szCs w:val="24"/>
        </w:rPr>
      </w:pPr>
      <w:r w:rsidRPr="00047B3A">
        <w:rPr>
          <w:rFonts w:ascii="Times New Roman" w:hAnsi="Times New Roman" w:cs="Times New Roman"/>
          <w:sz w:val="24"/>
          <w:szCs w:val="24"/>
        </w:rPr>
        <w:t xml:space="preserve">I propose to deal with the issues </w:t>
      </w:r>
      <w:r w:rsidR="002608C1" w:rsidRPr="00047B3A">
        <w:rPr>
          <w:rFonts w:ascii="Times New Roman" w:hAnsi="Times New Roman" w:cs="Times New Roman"/>
          <w:sz w:val="24"/>
          <w:szCs w:val="24"/>
        </w:rPr>
        <w:t>i</w:t>
      </w:r>
      <w:r w:rsidRPr="00047B3A">
        <w:rPr>
          <w:rFonts w:ascii="Times New Roman" w:hAnsi="Times New Roman" w:cs="Times New Roman"/>
          <w:sz w:val="24"/>
          <w:szCs w:val="24"/>
        </w:rPr>
        <w:t xml:space="preserve">n the sequence they were proposed </w:t>
      </w:r>
    </w:p>
    <w:p w:rsidR="00A05112" w:rsidRPr="00047B3A" w:rsidRDefault="00023EEC" w:rsidP="002608C1">
      <w:pPr>
        <w:spacing w:after="0" w:line="360" w:lineRule="auto"/>
        <w:jc w:val="both"/>
        <w:rPr>
          <w:rFonts w:ascii="Times New Roman" w:hAnsi="Times New Roman" w:cs="Times New Roman"/>
          <w:sz w:val="24"/>
          <w:szCs w:val="24"/>
        </w:rPr>
      </w:pPr>
      <w:proofErr w:type="gramStart"/>
      <w:r w:rsidRPr="00047B3A">
        <w:rPr>
          <w:rFonts w:ascii="Times New Roman" w:hAnsi="Times New Roman" w:cs="Times New Roman"/>
          <w:sz w:val="24"/>
          <w:szCs w:val="24"/>
        </w:rPr>
        <w:t>regard</w:t>
      </w:r>
      <w:proofErr w:type="gramEnd"/>
      <w:r w:rsidRPr="00047B3A">
        <w:rPr>
          <w:rFonts w:ascii="Times New Roman" w:hAnsi="Times New Roman" w:cs="Times New Roman"/>
          <w:sz w:val="24"/>
          <w:szCs w:val="24"/>
        </w:rPr>
        <w:t xml:space="preserve"> being had to the fact that if I make a finding that the plaintiff’s claim has prescribed, then I will be precluded from dealing with the rest of the issues because of the effect of prescription on the whole case.</w:t>
      </w:r>
      <w:r w:rsidR="007251EA" w:rsidRPr="00047B3A">
        <w:rPr>
          <w:rFonts w:ascii="Times New Roman" w:hAnsi="Times New Roman" w:cs="Times New Roman"/>
          <w:sz w:val="24"/>
          <w:szCs w:val="24"/>
        </w:rPr>
        <w:t xml:space="preserve"> </w:t>
      </w:r>
      <w:r w:rsidR="00A05112" w:rsidRPr="00047B3A">
        <w:rPr>
          <w:rFonts w:ascii="Times New Roman" w:hAnsi="Times New Roman" w:cs="Times New Roman"/>
          <w:sz w:val="24"/>
          <w:szCs w:val="24"/>
        </w:rPr>
        <w:t xml:space="preserve"> </w:t>
      </w:r>
    </w:p>
    <w:p w:rsidR="005B029C" w:rsidRPr="00047B3A" w:rsidRDefault="005B029C" w:rsidP="002608C1">
      <w:pPr>
        <w:spacing w:after="0" w:line="360" w:lineRule="auto"/>
        <w:jc w:val="both"/>
        <w:rPr>
          <w:rFonts w:ascii="Times New Roman" w:hAnsi="Times New Roman" w:cs="Times New Roman"/>
          <w:sz w:val="24"/>
          <w:szCs w:val="24"/>
        </w:rPr>
      </w:pPr>
      <w:r w:rsidRPr="00047B3A">
        <w:rPr>
          <w:rFonts w:ascii="Times New Roman" w:hAnsi="Times New Roman" w:cs="Times New Roman"/>
          <w:sz w:val="24"/>
          <w:szCs w:val="24"/>
          <w:u w:val="single"/>
        </w:rPr>
        <w:t>WHETHER OR NOT THE CLAIM HAS NOT PRESCRIBED</w:t>
      </w:r>
    </w:p>
    <w:p w:rsidR="002F7739" w:rsidRPr="00047B3A" w:rsidRDefault="005B029C" w:rsidP="002608C1">
      <w:pPr>
        <w:spacing w:after="0" w:line="360" w:lineRule="auto"/>
        <w:jc w:val="both"/>
        <w:rPr>
          <w:rFonts w:ascii="Times New Roman" w:hAnsi="Times New Roman" w:cs="Times New Roman"/>
          <w:sz w:val="24"/>
          <w:szCs w:val="24"/>
        </w:rPr>
      </w:pPr>
      <w:r w:rsidRPr="00047B3A">
        <w:rPr>
          <w:rFonts w:ascii="Times New Roman" w:hAnsi="Times New Roman" w:cs="Times New Roman"/>
          <w:sz w:val="24"/>
          <w:szCs w:val="24"/>
        </w:rPr>
        <w:tab/>
        <w:t>To decide this issue one has to closely look at and examine the evidence that was adduced in this case particularly by the plaintiff and the</w:t>
      </w:r>
      <w:r w:rsidR="002F7739" w:rsidRPr="00047B3A">
        <w:rPr>
          <w:rFonts w:ascii="Times New Roman" w:hAnsi="Times New Roman" w:cs="Times New Roman"/>
          <w:sz w:val="24"/>
          <w:szCs w:val="24"/>
        </w:rPr>
        <w:t xml:space="preserve"> defendant as the main actors in these proceedings.</w:t>
      </w:r>
    </w:p>
    <w:p w:rsidR="00102CD6" w:rsidRPr="00047B3A" w:rsidRDefault="002F7739" w:rsidP="002608C1">
      <w:pPr>
        <w:spacing w:after="0" w:line="360" w:lineRule="auto"/>
        <w:jc w:val="both"/>
        <w:rPr>
          <w:rFonts w:ascii="Times New Roman" w:hAnsi="Times New Roman" w:cs="Times New Roman"/>
          <w:sz w:val="24"/>
          <w:szCs w:val="24"/>
        </w:rPr>
      </w:pPr>
      <w:r w:rsidRPr="00047B3A">
        <w:rPr>
          <w:rFonts w:ascii="Times New Roman" w:hAnsi="Times New Roman" w:cs="Times New Roman"/>
          <w:sz w:val="24"/>
          <w:szCs w:val="24"/>
        </w:rPr>
        <w:tab/>
        <w:t>It was the clear evidence of the plaintiff that in February 2000 he entered into a sale agreement with the defendant which they had initially in</w:t>
      </w:r>
      <w:r w:rsidR="00C13CA8" w:rsidRPr="00047B3A">
        <w:rPr>
          <w:rFonts w:ascii="Times New Roman" w:hAnsi="Times New Roman" w:cs="Times New Roman"/>
          <w:sz w:val="24"/>
          <w:szCs w:val="24"/>
        </w:rPr>
        <w:t>t</w:t>
      </w:r>
      <w:r w:rsidRPr="00047B3A">
        <w:rPr>
          <w:rFonts w:ascii="Times New Roman" w:hAnsi="Times New Roman" w:cs="Times New Roman"/>
          <w:sz w:val="24"/>
          <w:szCs w:val="24"/>
        </w:rPr>
        <w:t xml:space="preserve">ended to have it reduced into writing with the assistance of his legal practitioners, Messrs </w:t>
      </w:r>
      <w:proofErr w:type="spellStart"/>
      <w:r w:rsidRPr="00047B3A">
        <w:rPr>
          <w:rFonts w:ascii="Times New Roman" w:hAnsi="Times New Roman" w:cs="Times New Roman"/>
          <w:sz w:val="24"/>
          <w:szCs w:val="24"/>
        </w:rPr>
        <w:t>Mushonga</w:t>
      </w:r>
      <w:proofErr w:type="spellEnd"/>
      <w:r w:rsidRPr="00047B3A">
        <w:rPr>
          <w:rFonts w:ascii="Times New Roman" w:hAnsi="Times New Roman" w:cs="Times New Roman"/>
          <w:sz w:val="24"/>
          <w:szCs w:val="24"/>
        </w:rPr>
        <w:t xml:space="preserve"> and Associates, Harare. It was the plaintiff’s further testimony that </w:t>
      </w:r>
      <w:r w:rsidR="00C13CA8" w:rsidRPr="00047B3A">
        <w:rPr>
          <w:rFonts w:ascii="Times New Roman" w:hAnsi="Times New Roman" w:cs="Times New Roman"/>
          <w:sz w:val="24"/>
          <w:szCs w:val="24"/>
        </w:rPr>
        <w:t>although they failed to have the sale agreement reduced to writing he was able to fulfil the terms of the verbal agreement although it was characterised by sporadic payments.</w:t>
      </w:r>
      <w:r w:rsidRPr="00047B3A">
        <w:rPr>
          <w:rFonts w:ascii="Times New Roman" w:hAnsi="Times New Roman" w:cs="Times New Roman"/>
          <w:sz w:val="24"/>
          <w:szCs w:val="24"/>
        </w:rPr>
        <w:t xml:space="preserve"> </w:t>
      </w:r>
    </w:p>
    <w:p w:rsidR="00102CD6" w:rsidRPr="00047B3A" w:rsidRDefault="00102CD6" w:rsidP="002608C1">
      <w:pPr>
        <w:spacing w:after="0" w:line="360" w:lineRule="auto"/>
        <w:jc w:val="both"/>
        <w:rPr>
          <w:rFonts w:ascii="Times New Roman" w:hAnsi="Times New Roman" w:cs="Times New Roman"/>
          <w:sz w:val="24"/>
          <w:szCs w:val="24"/>
        </w:rPr>
      </w:pPr>
      <w:r w:rsidRPr="00047B3A">
        <w:rPr>
          <w:rFonts w:ascii="Times New Roman" w:hAnsi="Times New Roman" w:cs="Times New Roman"/>
          <w:sz w:val="24"/>
          <w:szCs w:val="24"/>
        </w:rPr>
        <w:tab/>
        <w:t>The plaintiff advised the court that he forked out $1 100</w:t>
      </w:r>
      <w:r w:rsidR="006F7863">
        <w:rPr>
          <w:rFonts w:ascii="Times New Roman" w:hAnsi="Times New Roman" w:cs="Times New Roman"/>
          <w:sz w:val="24"/>
          <w:szCs w:val="24"/>
        </w:rPr>
        <w:t xml:space="preserve"> 000</w:t>
      </w:r>
      <w:r w:rsidRPr="00047B3A">
        <w:rPr>
          <w:rFonts w:ascii="Times New Roman" w:hAnsi="Times New Roman" w:cs="Times New Roman"/>
          <w:sz w:val="24"/>
          <w:szCs w:val="24"/>
        </w:rPr>
        <w:t xml:space="preserve"> (Zimbabwe dollars) towards the fulfilment of the verbal agreement of sale with the last payment having been made on 13 January 2001. The plaintiff went on to say that he demanded to have the defendant transfer the sold house in the same year, 2001. In his own words the plaintiff stated:-</w:t>
      </w:r>
    </w:p>
    <w:p w:rsidR="00102CD6" w:rsidRDefault="006F7863" w:rsidP="006F786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102CD6" w:rsidRPr="00047B3A">
        <w:rPr>
          <w:rFonts w:ascii="Times New Roman" w:hAnsi="Times New Roman" w:cs="Times New Roman"/>
          <w:sz w:val="24"/>
          <w:szCs w:val="24"/>
        </w:rPr>
        <w:t>Immediately after the last payment of $100 00</w:t>
      </w:r>
      <w:r>
        <w:rPr>
          <w:rFonts w:ascii="Times New Roman" w:hAnsi="Times New Roman" w:cs="Times New Roman"/>
          <w:sz w:val="24"/>
          <w:szCs w:val="24"/>
        </w:rPr>
        <w:t>0</w:t>
      </w:r>
      <w:r w:rsidR="00102CD6" w:rsidRPr="00047B3A">
        <w:rPr>
          <w:rFonts w:ascii="Times New Roman" w:hAnsi="Times New Roman" w:cs="Times New Roman"/>
          <w:sz w:val="24"/>
          <w:szCs w:val="24"/>
        </w:rPr>
        <w:t xml:space="preserve"> (Zimbabwe dollars) I went to se</w:t>
      </w:r>
      <w:r w:rsidR="00D20948" w:rsidRPr="00047B3A">
        <w:rPr>
          <w:rFonts w:ascii="Times New Roman" w:hAnsi="Times New Roman" w:cs="Times New Roman"/>
          <w:sz w:val="24"/>
          <w:szCs w:val="24"/>
        </w:rPr>
        <w:t>e</w:t>
      </w:r>
      <w:r w:rsidR="00102CD6" w:rsidRPr="00047B3A">
        <w:rPr>
          <w:rFonts w:ascii="Times New Roman" w:hAnsi="Times New Roman" w:cs="Times New Roman"/>
          <w:sz w:val="24"/>
          <w:szCs w:val="24"/>
        </w:rPr>
        <w:t xml:space="preserve"> the defendant for transfer. From there on I decided to just stay and he avoided interacting with me. I just thought my lawyers would deal with the transfer”. </w:t>
      </w:r>
      <w:proofErr w:type="gramStart"/>
      <w:r w:rsidR="00102CD6" w:rsidRPr="00047B3A">
        <w:rPr>
          <w:rFonts w:ascii="Times New Roman" w:hAnsi="Times New Roman" w:cs="Times New Roman"/>
          <w:sz w:val="24"/>
          <w:szCs w:val="24"/>
        </w:rPr>
        <w:t>(Page 6 of my long hand notes).</w:t>
      </w:r>
      <w:proofErr w:type="gramEnd"/>
    </w:p>
    <w:p w:rsidR="006F7863" w:rsidRPr="00047B3A" w:rsidRDefault="006F7863" w:rsidP="006F7863">
      <w:pPr>
        <w:spacing w:after="0" w:line="240" w:lineRule="auto"/>
        <w:ind w:left="720"/>
        <w:jc w:val="both"/>
        <w:rPr>
          <w:rFonts w:ascii="Times New Roman" w:hAnsi="Times New Roman" w:cs="Times New Roman"/>
          <w:sz w:val="24"/>
          <w:szCs w:val="24"/>
        </w:rPr>
      </w:pPr>
    </w:p>
    <w:p w:rsidR="00102CD6" w:rsidRPr="00047B3A" w:rsidRDefault="00102CD6" w:rsidP="002608C1">
      <w:pPr>
        <w:spacing w:after="0" w:line="360" w:lineRule="auto"/>
        <w:jc w:val="both"/>
        <w:rPr>
          <w:rFonts w:ascii="Times New Roman" w:hAnsi="Times New Roman" w:cs="Times New Roman"/>
          <w:sz w:val="24"/>
          <w:szCs w:val="24"/>
        </w:rPr>
      </w:pPr>
      <w:r w:rsidRPr="00047B3A">
        <w:rPr>
          <w:rFonts w:ascii="Times New Roman" w:hAnsi="Times New Roman" w:cs="Times New Roman"/>
          <w:sz w:val="24"/>
          <w:szCs w:val="24"/>
        </w:rPr>
        <w:tab/>
        <w:t>When questioned under cross-examination on the issues of transfer the questions and answers went along as follows:-</w:t>
      </w:r>
    </w:p>
    <w:p w:rsidR="00102CD6" w:rsidRPr="00047B3A" w:rsidRDefault="00102CD6" w:rsidP="00102CD6">
      <w:pPr>
        <w:spacing w:after="0" w:line="240" w:lineRule="auto"/>
        <w:ind w:left="1440" w:hanging="720"/>
        <w:jc w:val="both"/>
        <w:rPr>
          <w:rFonts w:ascii="Times New Roman" w:hAnsi="Times New Roman" w:cs="Times New Roman"/>
          <w:sz w:val="24"/>
          <w:szCs w:val="24"/>
        </w:rPr>
      </w:pPr>
      <w:r w:rsidRPr="00047B3A">
        <w:rPr>
          <w:rFonts w:ascii="Times New Roman" w:hAnsi="Times New Roman" w:cs="Times New Roman"/>
          <w:sz w:val="24"/>
          <w:szCs w:val="24"/>
        </w:rPr>
        <w:t>“Q.</w:t>
      </w:r>
      <w:r w:rsidRPr="00047B3A">
        <w:rPr>
          <w:rFonts w:ascii="Times New Roman" w:hAnsi="Times New Roman" w:cs="Times New Roman"/>
          <w:sz w:val="24"/>
          <w:szCs w:val="24"/>
        </w:rPr>
        <w:tab/>
        <w:t>When did you make the first demand for transfer of this property into your name?</w:t>
      </w:r>
    </w:p>
    <w:p w:rsidR="00102CD6" w:rsidRPr="00047B3A" w:rsidRDefault="00102CD6" w:rsidP="00102CD6">
      <w:pPr>
        <w:spacing w:after="0" w:line="240" w:lineRule="auto"/>
        <w:ind w:left="1440" w:hanging="720"/>
        <w:jc w:val="both"/>
        <w:rPr>
          <w:rFonts w:ascii="Times New Roman" w:hAnsi="Times New Roman" w:cs="Times New Roman"/>
          <w:sz w:val="24"/>
          <w:szCs w:val="24"/>
        </w:rPr>
      </w:pPr>
    </w:p>
    <w:p w:rsidR="00102CD6" w:rsidRPr="00047B3A" w:rsidRDefault="00102CD6" w:rsidP="00102CD6">
      <w:pPr>
        <w:pStyle w:val="ListParagraph"/>
        <w:numPr>
          <w:ilvl w:val="0"/>
          <w:numId w:val="2"/>
        </w:numPr>
        <w:spacing w:after="0" w:line="240" w:lineRule="auto"/>
        <w:jc w:val="both"/>
        <w:rPr>
          <w:rFonts w:ascii="Times New Roman" w:hAnsi="Times New Roman" w:cs="Times New Roman"/>
          <w:sz w:val="24"/>
          <w:szCs w:val="24"/>
        </w:rPr>
      </w:pPr>
      <w:r w:rsidRPr="00047B3A">
        <w:rPr>
          <w:rFonts w:ascii="Times New Roman" w:hAnsi="Times New Roman" w:cs="Times New Roman"/>
          <w:sz w:val="24"/>
          <w:szCs w:val="24"/>
        </w:rPr>
        <w:lastRenderedPageBreak/>
        <w:t xml:space="preserve">     It was in 2001</w:t>
      </w:r>
    </w:p>
    <w:p w:rsidR="005B029C" w:rsidRPr="00047B3A" w:rsidRDefault="00102CD6" w:rsidP="002608C1">
      <w:pPr>
        <w:spacing w:after="0" w:line="360" w:lineRule="auto"/>
        <w:jc w:val="both"/>
        <w:rPr>
          <w:rFonts w:ascii="Times New Roman" w:hAnsi="Times New Roman" w:cs="Times New Roman"/>
          <w:sz w:val="24"/>
          <w:szCs w:val="24"/>
        </w:rPr>
      </w:pPr>
      <w:r w:rsidRPr="00047B3A">
        <w:rPr>
          <w:rFonts w:ascii="Times New Roman" w:hAnsi="Times New Roman" w:cs="Times New Roman"/>
          <w:sz w:val="24"/>
          <w:szCs w:val="24"/>
        </w:rPr>
        <w:t xml:space="preserve"> </w:t>
      </w:r>
      <w:r w:rsidR="005B029C" w:rsidRPr="00047B3A">
        <w:rPr>
          <w:rFonts w:ascii="Times New Roman" w:hAnsi="Times New Roman" w:cs="Times New Roman"/>
          <w:sz w:val="24"/>
          <w:szCs w:val="24"/>
        </w:rPr>
        <w:t xml:space="preserve"> </w:t>
      </w:r>
    </w:p>
    <w:p w:rsidR="00102CD6" w:rsidRPr="00047B3A" w:rsidRDefault="00102CD6" w:rsidP="00102CD6">
      <w:pPr>
        <w:spacing w:after="0" w:line="360" w:lineRule="auto"/>
        <w:ind w:left="720"/>
        <w:jc w:val="both"/>
        <w:rPr>
          <w:rFonts w:ascii="Times New Roman" w:hAnsi="Times New Roman" w:cs="Times New Roman"/>
          <w:sz w:val="24"/>
          <w:szCs w:val="24"/>
        </w:rPr>
      </w:pPr>
      <w:r w:rsidRPr="00047B3A">
        <w:rPr>
          <w:rFonts w:ascii="Times New Roman" w:hAnsi="Times New Roman" w:cs="Times New Roman"/>
          <w:sz w:val="24"/>
          <w:szCs w:val="24"/>
        </w:rPr>
        <w:t>Q.</w:t>
      </w:r>
      <w:r w:rsidRPr="00047B3A">
        <w:rPr>
          <w:rFonts w:ascii="Times New Roman" w:hAnsi="Times New Roman" w:cs="Times New Roman"/>
          <w:sz w:val="24"/>
          <w:szCs w:val="24"/>
        </w:rPr>
        <w:tab/>
        <w:t>Categorically he refused to have the property transferred?</w:t>
      </w:r>
    </w:p>
    <w:p w:rsidR="00102CD6" w:rsidRPr="00047B3A" w:rsidRDefault="00102CD6" w:rsidP="00102CD6">
      <w:pPr>
        <w:spacing w:after="0" w:line="240" w:lineRule="auto"/>
        <w:ind w:left="1440" w:hanging="720"/>
        <w:jc w:val="both"/>
        <w:rPr>
          <w:rFonts w:ascii="Times New Roman" w:hAnsi="Times New Roman" w:cs="Times New Roman"/>
          <w:sz w:val="24"/>
          <w:szCs w:val="24"/>
        </w:rPr>
      </w:pPr>
      <w:r w:rsidRPr="00047B3A">
        <w:rPr>
          <w:rFonts w:ascii="Times New Roman" w:hAnsi="Times New Roman" w:cs="Times New Roman"/>
          <w:sz w:val="24"/>
          <w:szCs w:val="24"/>
        </w:rPr>
        <w:t>A.</w:t>
      </w:r>
      <w:r w:rsidRPr="00047B3A">
        <w:rPr>
          <w:rFonts w:ascii="Times New Roman" w:hAnsi="Times New Roman" w:cs="Times New Roman"/>
          <w:sz w:val="24"/>
          <w:szCs w:val="24"/>
        </w:rPr>
        <w:tab/>
        <w:t>He did not respond hence my asking him whether there was any money outstanding and how much he wanted</w:t>
      </w:r>
    </w:p>
    <w:p w:rsidR="00102CD6" w:rsidRPr="00047B3A" w:rsidRDefault="00102CD6" w:rsidP="00102CD6">
      <w:pPr>
        <w:spacing w:after="0" w:line="240" w:lineRule="auto"/>
        <w:ind w:left="1440" w:hanging="720"/>
        <w:jc w:val="both"/>
        <w:rPr>
          <w:rFonts w:ascii="Times New Roman" w:hAnsi="Times New Roman" w:cs="Times New Roman"/>
          <w:sz w:val="24"/>
          <w:szCs w:val="24"/>
        </w:rPr>
      </w:pPr>
    </w:p>
    <w:p w:rsidR="00102CD6" w:rsidRPr="00047B3A" w:rsidRDefault="00102CD6" w:rsidP="00102CD6">
      <w:pPr>
        <w:spacing w:after="0" w:line="240" w:lineRule="auto"/>
        <w:ind w:left="1440" w:hanging="720"/>
        <w:jc w:val="both"/>
        <w:rPr>
          <w:rFonts w:ascii="Times New Roman" w:hAnsi="Times New Roman" w:cs="Times New Roman"/>
          <w:sz w:val="24"/>
          <w:szCs w:val="24"/>
        </w:rPr>
      </w:pPr>
      <w:r w:rsidRPr="00047B3A">
        <w:rPr>
          <w:rFonts w:ascii="Times New Roman" w:hAnsi="Times New Roman" w:cs="Times New Roman"/>
          <w:sz w:val="24"/>
          <w:szCs w:val="24"/>
        </w:rPr>
        <w:t>Q.</w:t>
      </w:r>
      <w:r w:rsidRPr="00047B3A">
        <w:rPr>
          <w:rFonts w:ascii="Times New Roman" w:hAnsi="Times New Roman" w:cs="Times New Roman"/>
          <w:sz w:val="24"/>
          <w:szCs w:val="24"/>
        </w:rPr>
        <w:tab/>
        <w:t>By his conduct you concluded he was no longer interested in transferring the house.</w:t>
      </w:r>
    </w:p>
    <w:p w:rsidR="00102CD6" w:rsidRPr="00047B3A" w:rsidRDefault="00102CD6" w:rsidP="00102CD6">
      <w:pPr>
        <w:spacing w:after="0" w:line="240" w:lineRule="auto"/>
        <w:ind w:left="1440" w:hanging="720"/>
        <w:jc w:val="both"/>
        <w:rPr>
          <w:rFonts w:ascii="Times New Roman" w:hAnsi="Times New Roman" w:cs="Times New Roman"/>
          <w:sz w:val="24"/>
          <w:szCs w:val="24"/>
        </w:rPr>
      </w:pPr>
    </w:p>
    <w:p w:rsidR="00102CD6" w:rsidRPr="00047B3A" w:rsidRDefault="00102CD6" w:rsidP="00102CD6">
      <w:pPr>
        <w:spacing w:after="0" w:line="240" w:lineRule="auto"/>
        <w:ind w:left="1440" w:hanging="720"/>
        <w:jc w:val="both"/>
        <w:rPr>
          <w:rFonts w:ascii="Times New Roman" w:hAnsi="Times New Roman" w:cs="Times New Roman"/>
          <w:sz w:val="24"/>
          <w:szCs w:val="24"/>
        </w:rPr>
      </w:pPr>
      <w:r w:rsidRPr="00047B3A">
        <w:rPr>
          <w:rFonts w:ascii="Times New Roman" w:hAnsi="Times New Roman" w:cs="Times New Roman"/>
          <w:sz w:val="24"/>
          <w:szCs w:val="24"/>
        </w:rPr>
        <w:t>A.</w:t>
      </w:r>
      <w:r w:rsidRPr="00047B3A">
        <w:rPr>
          <w:rFonts w:ascii="Times New Roman" w:hAnsi="Times New Roman" w:cs="Times New Roman"/>
          <w:sz w:val="24"/>
          <w:szCs w:val="24"/>
        </w:rPr>
        <w:tab/>
        <w:t>Yes.</w:t>
      </w:r>
    </w:p>
    <w:p w:rsidR="00102CD6" w:rsidRPr="00047B3A" w:rsidRDefault="00102CD6" w:rsidP="00102CD6">
      <w:pPr>
        <w:spacing w:after="0" w:line="240" w:lineRule="auto"/>
        <w:ind w:left="1440" w:hanging="720"/>
        <w:jc w:val="both"/>
        <w:rPr>
          <w:rFonts w:ascii="Times New Roman" w:hAnsi="Times New Roman" w:cs="Times New Roman"/>
          <w:sz w:val="24"/>
          <w:szCs w:val="24"/>
        </w:rPr>
      </w:pPr>
    </w:p>
    <w:p w:rsidR="00102CD6" w:rsidRPr="00047B3A" w:rsidRDefault="00102CD6" w:rsidP="00102CD6">
      <w:pPr>
        <w:spacing w:after="0" w:line="240" w:lineRule="auto"/>
        <w:ind w:left="1440" w:hanging="720"/>
        <w:jc w:val="both"/>
        <w:rPr>
          <w:rFonts w:ascii="Times New Roman" w:hAnsi="Times New Roman" w:cs="Times New Roman"/>
          <w:sz w:val="24"/>
          <w:szCs w:val="24"/>
        </w:rPr>
      </w:pPr>
      <w:r w:rsidRPr="00047B3A">
        <w:rPr>
          <w:rFonts w:ascii="Times New Roman" w:hAnsi="Times New Roman" w:cs="Times New Roman"/>
          <w:sz w:val="24"/>
          <w:szCs w:val="24"/>
        </w:rPr>
        <w:t>Q.</w:t>
      </w:r>
      <w:r w:rsidRPr="00047B3A">
        <w:rPr>
          <w:rFonts w:ascii="Times New Roman" w:hAnsi="Times New Roman" w:cs="Times New Roman"/>
          <w:sz w:val="24"/>
          <w:szCs w:val="24"/>
        </w:rPr>
        <w:tab/>
      </w:r>
      <w:r w:rsidR="003273BC" w:rsidRPr="00047B3A">
        <w:rPr>
          <w:rFonts w:ascii="Times New Roman" w:hAnsi="Times New Roman" w:cs="Times New Roman"/>
          <w:sz w:val="24"/>
          <w:szCs w:val="24"/>
        </w:rPr>
        <w:t>You issued summons against him in 2008?</w:t>
      </w:r>
    </w:p>
    <w:p w:rsidR="003273BC" w:rsidRPr="00047B3A" w:rsidRDefault="003273BC" w:rsidP="00102CD6">
      <w:pPr>
        <w:spacing w:after="0" w:line="240" w:lineRule="auto"/>
        <w:ind w:left="1440" w:hanging="720"/>
        <w:jc w:val="both"/>
        <w:rPr>
          <w:rFonts w:ascii="Times New Roman" w:hAnsi="Times New Roman" w:cs="Times New Roman"/>
          <w:sz w:val="24"/>
          <w:szCs w:val="24"/>
        </w:rPr>
      </w:pPr>
    </w:p>
    <w:p w:rsidR="003273BC" w:rsidRPr="00047B3A" w:rsidRDefault="003273BC" w:rsidP="00102CD6">
      <w:pPr>
        <w:spacing w:after="0" w:line="240" w:lineRule="auto"/>
        <w:ind w:left="1440" w:hanging="720"/>
        <w:jc w:val="both"/>
        <w:rPr>
          <w:rFonts w:ascii="Times New Roman" w:hAnsi="Times New Roman" w:cs="Times New Roman"/>
          <w:sz w:val="24"/>
          <w:szCs w:val="24"/>
        </w:rPr>
      </w:pPr>
      <w:r w:rsidRPr="00047B3A">
        <w:rPr>
          <w:rFonts w:ascii="Times New Roman" w:hAnsi="Times New Roman" w:cs="Times New Roman"/>
          <w:sz w:val="24"/>
          <w:szCs w:val="24"/>
        </w:rPr>
        <w:t>A.</w:t>
      </w:r>
      <w:r w:rsidRPr="00047B3A">
        <w:rPr>
          <w:rFonts w:ascii="Times New Roman" w:hAnsi="Times New Roman" w:cs="Times New Roman"/>
          <w:sz w:val="24"/>
          <w:szCs w:val="24"/>
        </w:rPr>
        <w:tab/>
        <w:t>Yes” (p. 11 of my long hand notes).</w:t>
      </w:r>
    </w:p>
    <w:p w:rsidR="003273BC" w:rsidRPr="00047B3A" w:rsidRDefault="003273BC" w:rsidP="00102CD6">
      <w:pPr>
        <w:spacing w:after="0" w:line="240" w:lineRule="auto"/>
        <w:ind w:left="1440" w:hanging="720"/>
        <w:jc w:val="both"/>
        <w:rPr>
          <w:rFonts w:ascii="Times New Roman" w:hAnsi="Times New Roman" w:cs="Times New Roman"/>
          <w:sz w:val="24"/>
          <w:szCs w:val="24"/>
        </w:rPr>
      </w:pPr>
    </w:p>
    <w:p w:rsidR="003273BC" w:rsidRPr="00047B3A" w:rsidRDefault="003273BC" w:rsidP="003273BC">
      <w:pPr>
        <w:spacing w:after="0" w:line="360" w:lineRule="auto"/>
        <w:ind w:left="1440" w:hanging="720"/>
        <w:jc w:val="both"/>
        <w:rPr>
          <w:rFonts w:ascii="Times New Roman" w:hAnsi="Times New Roman" w:cs="Times New Roman"/>
          <w:sz w:val="24"/>
          <w:szCs w:val="24"/>
        </w:rPr>
      </w:pPr>
      <w:r w:rsidRPr="00047B3A">
        <w:rPr>
          <w:rFonts w:ascii="Times New Roman" w:hAnsi="Times New Roman" w:cs="Times New Roman"/>
          <w:sz w:val="24"/>
          <w:szCs w:val="24"/>
        </w:rPr>
        <w:t xml:space="preserve">I have not the slightest doubt in my mind that the story told by the </w:t>
      </w:r>
    </w:p>
    <w:p w:rsidR="003273BC" w:rsidRPr="00047B3A" w:rsidRDefault="003273BC" w:rsidP="003273BC">
      <w:pPr>
        <w:spacing w:after="0" w:line="360" w:lineRule="auto"/>
        <w:jc w:val="both"/>
        <w:rPr>
          <w:rFonts w:ascii="Times New Roman" w:hAnsi="Times New Roman" w:cs="Times New Roman"/>
          <w:sz w:val="24"/>
          <w:szCs w:val="24"/>
        </w:rPr>
      </w:pPr>
      <w:proofErr w:type="gramStart"/>
      <w:r w:rsidRPr="00047B3A">
        <w:rPr>
          <w:rFonts w:ascii="Times New Roman" w:hAnsi="Times New Roman" w:cs="Times New Roman"/>
          <w:sz w:val="24"/>
          <w:szCs w:val="24"/>
        </w:rPr>
        <w:t>plaintiff</w:t>
      </w:r>
      <w:proofErr w:type="gramEnd"/>
      <w:r w:rsidRPr="00047B3A">
        <w:rPr>
          <w:rFonts w:ascii="Times New Roman" w:hAnsi="Times New Roman" w:cs="Times New Roman"/>
          <w:sz w:val="24"/>
          <w:szCs w:val="24"/>
        </w:rPr>
        <w:t xml:space="preserve"> represents the probable truth in his dealing</w:t>
      </w:r>
      <w:r w:rsidR="006F7863">
        <w:rPr>
          <w:rFonts w:ascii="Times New Roman" w:hAnsi="Times New Roman" w:cs="Times New Roman"/>
          <w:sz w:val="24"/>
          <w:szCs w:val="24"/>
        </w:rPr>
        <w:t>s</w:t>
      </w:r>
      <w:r w:rsidRPr="00047B3A">
        <w:rPr>
          <w:rFonts w:ascii="Times New Roman" w:hAnsi="Times New Roman" w:cs="Times New Roman"/>
          <w:sz w:val="24"/>
          <w:szCs w:val="24"/>
        </w:rPr>
        <w:t xml:space="preserve"> with the defendant.</w:t>
      </w:r>
    </w:p>
    <w:p w:rsidR="00813EEE" w:rsidRPr="00047B3A" w:rsidRDefault="00813EEE" w:rsidP="003273BC">
      <w:pPr>
        <w:spacing w:after="0" w:line="360" w:lineRule="auto"/>
        <w:jc w:val="both"/>
        <w:rPr>
          <w:rFonts w:ascii="Times New Roman" w:hAnsi="Times New Roman" w:cs="Times New Roman"/>
          <w:sz w:val="24"/>
          <w:szCs w:val="24"/>
        </w:rPr>
      </w:pPr>
      <w:r w:rsidRPr="00047B3A">
        <w:rPr>
          <w:rFonts w:ascii="Times New Roman" w:hAnsi="Times New Roman" w:cs="Times New Roman"/>
          <w:sz w:val="24"/>
          <w:szCs w:val="24"/>
        </w:rPr>
        <w:tab/>
        <w:t xml:space="preserve">In his closing submissions the plaintiff’s legal practitioner made a desperate attempt to convince the court that </w:t>
      </w:r>
      <w:r w:rsidR="00FC1B59" w:rsidRPr="00047B3A">
        <w:rPr>
          <w:rFonts w:ascii="Times New Roman" w:hAnsi="Times New Roman" w:cs="Times New Roman"/>
          <w:sz w:val="24"/>
          <w:szCs w:val="24"/>
        </w:rPr>
        <w:t>the plaintiff had advised the court that he had demanded the transfer of the property in 2009.</w:t>
      </w:r>
    </w:p>
    <w:p w:rsidR="00FC1B59" w:rsidRPr="00047B3A" w:rsidRDefault="00FC1B59" w:rsidP="003273BC">
      <w:pPr>
        <w:spacing w:after="0" w:line="360" w:lineRule="auto"/>
        <w:jc w:val="both"/>
        <w:rPr>
          <w:rFonts w:ascii="Times New Roman" w:hAnsi="Times New Roman" w:cs="Times New Roman"/>
          <w:sz w:val="24"/>
          <w:szCs w:val="24"/>
        </w:rPr>
      </w:pPr>
      <w:r w:rsidRPr="00047B3A">
        <w:rPr>
          <w:rFonts w:ascii="Times New Roman" w:hAnsi="Times New Roman" w:cs="Times New Roman"/>
          <w:sz w:val="24"/>
          <w:szCs w:val="24"/>
        </w:rPr>
        <w:tab/>
        <w:t>On the other hand, the defendant’s legal practitioner argued that the correct position was that the plaintiff had said that he had demanded the transfer of the property in 2001. I agree. This would be consistent with the tenure of the plaintiff’s evidence in chief and even under cross-examination. The position taken by the plaintiff’s legal practitioner is not borne out of the evidence on record as he was evidently on slippery ground in attempting to shield off the issue of prescription.</w:t>
      </w:r>
    </w:p>
    <w:p w:rsidR="00FC1B59" w:rsidRPr="00047B3A" w:rsidRDefault="00FC1B59" w:rsidP="003273BC">
      <w:pPr>
        <w:spacing w:after="0" w:line="360" w:lineRule="auto"/>
        <w:jc w:val="both"/>
        <w:rPr>
          <w:rFonts w:ascii="Times New Roman" w:hAnsi="Times New Roman" w:cs="Times New Roman"/>
          <w:sz w:val="24"/>
          <w:szCs w:val="24"/>
          <w:u w:val="single"/>
        </w:rPr>
      </w:pPr>
      <w:r w:rsidRPr="00047B3A">
        <w:rPr>
          <w:rFonts w:ascii="Times New Roman" w:hAnsi="Times New Roman" w:cs="Times New Roman"/>
          <w:sz w:val="24"/>
          <w:szCs w:val="24"/>
          <w:u w:val="single"/>
        </w:rPr>
        <w:t>PRESCRIPTION</w:t>
      </w:r>
    </w:p>
    <w:p w:rsidR="00FC1B59" w:rsidRPr="00047B3A" w:rsidRDefault="00FC1B59" w:rsidP="003273BC">
      <w:pPr>
        <w:spacing w:after="0" w:line="360" w:lineRule="auto"/>
        <w:jc w:val="both"/>
        <w:rPr>
          <w:rFonts w:ascii="Times New Roman" w:hAnsi="Times New Roman" w:cs="Times New Roman"/>
          <w:sz w:val="24"/>
          <w:szCs w:val="24"/>
        </w:rPr>
      </w:pPr>
      <w:r w:rsidRPr="00047B3A">
        <w:rPr>
          <w:rFonts w:ascii="Times New Roman" w:hAnsi="Times New Roman" w:cs="Times New Roman"/>
          <w:sz w:val="24"/>
          <w:szCs w:val="24"/>
        </w:rPr>
        <w:tab/>
        <w:t xml:space="preserve">   Whenever issues to do with prescription are raised resort must first be had to the Prescription Act itself. It is the oracle to which the Court must</w:t>
      </w:r>
      <w:r w:rsidR="005753B5" w:rsidRPr="00047B3A">
        <w:rPr>
          <w:rFonts w:ascii="Times New Roman" w:hAnsi="Times New Roman" w:cs="Times New Roman"/>
          <w:sz w:val="24"/>
          <w:szCs w:val="24"/>
        </w:rPr>
        <w:t xml:space="preserve"> inevitably turn to resolve matters to do with prescription.</w:t>
      </w:r>
    </w:p>
    <w:p w:rsidR="005753B5" w:rsidRPr="00047B3A" w:rsidRDefault="005753B5" w:rsidP="003273BC">
      <w:pPr>
        <w:spacing w:after="0" w:line="360" w:lineRule="auto"/>
        <w:jc w:val="both"/>
        <w:rPr>
          <w:rFonts w:ascii="Times New Roman" w:hAnsi="Times New Roman" w:cs="Times New Roman"/>
          <w:sz w:val="24"/>
          <w:szCs w:val="24"/>
        </w:rPr>
      </w:pPr>
      <w:r w:rsidRPr="00047B3A">
        <w:rPr>
          <w:rFonts w:ascii="Times New Roman" w:hAnsi="Times New Roman" w:cs="Times New Roman"/>
          <w:sz w:val="24"/>
          <w:szCs w:val="24"/>
        </w:rPr>
        <w:tab/>
        <w:t>In terms of s 15(d) of the Act</w:t>
      </w:r>
      <w:r w:rsidRPr="00047B3A">
        <w:rPr>
          <w:rStyle w:val="FootnoteReference"/>
          <w:rFonts w:ascii="Times New Roman" w:hAnsi="Times New Roman" w:cs="Times New Roman"/>
          <w:sz w:val="24"/>
          <w:szCs w:val="24"/>
        </w:rPr>
        <w:footnoteReference w:id="1"/>
      </w:r>
    </w:p>
    <w:p w:rsidR="00DE3793" w:rsidRPr="00047B3A" w:rsidRDefault="00DE3793" w:rsidP="00DE3793">
      <w:pPr>
        <w:spacing w:after="0" w:line="240" w:lineRule="auto"/>
        <w:ind w:left="720"/>
        <w:jc w:val="both"/>
        <w:rPr>
          <w:rFonts w:ascii="Times New Roman" w:hAnsi="Times New Roman" w:cs="Times New Roman"/>
          <w:sz w:val="24"/>
          <w:szCs w:val="24"/>
        </w:rPr>
      </w:pPr>
      <w:r w:rsidRPr="00047B3A">
        <w:rPr>
          <w:rFonts w:ascii="Times New Roman" w:hAnsi="Times New Roman" w:cs="Times New Roman"/>
          <w:sz w:val="24"/>
          <w:szCs w:val="24"/>
        </w:rPr>
        <w:t>“The period of prescription of a debt shall be except where any enactment provides otherwise, three years, in the case of any other debt”.</w:t>
      </w:r>
    </w:p>
    <w:p w:rsidR="00DE3793" w:rsidRPr="00047B3A" w:rsidRDefault="00DE3793" w:rsidP="00DE3793">
      <w:pPr>
        <w:spacing w:after="0" w:line="240" w:lineRule="auto"/>
        <w:ind w:left="720"/>
        <w:jc w:val="both"/>
        <w:rPr>
          <w:rFonts w:ascii="Times New Roman" w:hAnsi="Times New Roman" w:cs="Times New Roman"/>
          <w:sz w:val="24"/>
          <w:szCs w:val="24"/>
        </w:rPr>
      </w:pPr>
    </w:p>
    <w:p w:rsidR="00DE3793" w:rsidRPr="00047B3A" w:rsidRDefault="00DE3793" w:rsidP="00DE3793">
      <w:pPr>
        <w:spacing w:after="0" w:line="360" w:lineRule="auto"/>
        <w:ind w:left="720"/>
        <w:jc w:val="both"/>
        <w:rPr>
          <w:rFonts w:ascii="Times New Roman" w:hAnsi="Times New Roman" w:cs="Times New Roman"/>
          <w:sz w:val="24"/>
          <w:szCs w:val="24"/>
        </w:rPr>
      </w:pPr>
      <w:r w:rsidRPr="00047B3A">
        <w:rPr>
          <w:rFonts w:ascii="Times New Roman" w:hAnsi="Times New Roman" w:cs="Times New Roman"/>
          <w:sz w:val="24"/>
          <w:szCs w:val="24"/>
        </w:rPr>
        <w:t>Section 2 of the same Act defines a “debt” as follows:-</w:t>
      </w:r>
    </w:p>
    <w:p w:rsidR="00DE3793" w:rsidRPr="00047B3A" w:rsidRDefault="00DE3793" w:rsidP="00DE3793">
      <w:pPr>
        <w:spacing w:after="0" w:line="240" w:lineRule="auto"/>
        <w:ind w:left="720"/>
        <w:jc w:val="both"/>
        <w:rPr>
          <w:rFonts w:ascii="Times New Roman" w:hAnsi="Times New Roman" w:cs="Times New Roman"/>
          <w:sz w:val="24"/>
          <w:szCs w:val="24"/>
        </w:rPr>
      </w:pPr>
      <w:r w:rsidRPr="00047B3A">
        <w:rPr>
          <w:rFonts w:ascii="Times New Roman" w:hAnsi="Times New Roman" w:cs="Times New Roman"/>
          <w:sz w:val="24"/>
          <w:szCs w:val="24"/>
        </w:rPr>
        <w:lastRenderedPageBreak/>
        <w:t>“</w:t>
      </w:r>
      <w:proofErr w:type="gramStart"/>
      <w:r w:rsidRPr="00047B3A">
        <w:rPr>
          <w:rFonts w:ascii="Times New Roman" w:hAnsi="Times New Roman" w:cs="Times New Roman"/>
          <w:sz w:val="24"/>
          <w:szCs w:val="24"/>
        </w:rPr>
        <w:t>debt</w:t>
      </w:r>
      <w:proofErr w:type="gramEnd"/>
      <w:r w:rsidRPr="00047B3A">
        <w:rPr>
          <w:rFonts w:ascii="Times New Roman" w:hAnsi="Times New Roman" w:cs="Times New Roman"/>
          <w:sz w:val="24"/>
          <w:szCs w:val="24"/>
        </w:rPr>
        <w:t xml:space="preserve">”, without limiting the meaning of the term, includes anything which may be used for or claimed by reason of an obligation arising from statue, contract, </w:t>
      </w:r>
      <w:proofErr w:type="spellStart"/>
      <w:r w:rsidRPr="00047B3A">
        <w:rPr>
          <w:rFonts w:ascii="Times New Roman" w:hAnsi="Times New Roman" w:cs="Times New Roman"/>
          <w:sz w:val="24"/>
          <w:szCs w:val="24"/>
        </w:rPr>
        <w:t>delict</w:t>
      </w:r>
      <w:proofErr w:type="spellEnd"/>
      <w:r w:rsidRPr="00047B3A">
        <w:rPr>
          <w:rFonts w:ascii="Times New Roman" w:hAnsi="Times New Roman" w:cs="Times New Roman"/>
          <w:sz w:val="24"/>
          <w:szCs w:val="24"/>
        </w:rPr>
        <w:t xml:space="preserve"> or otherwise”.</w:t>
      </w:r>
    </w:p>
    <w:p w:rsidR="00DE3793" w:rsidRPr="00047B3A" w:rsidRDefault="00DE3793" w:rsidP="00DE3793">
      <w:pPr>
        <w:spacing w:after="0" w:line="240" w:lineRule="auto"/>
        <w:ind w:left="720"/>
        <w:jc w:val="both"/>
        <w:rPr>
          <w:rFonts w:ascii="Times New Roman" w:hAnsi="Times New Roman" w:cs="Times New Roman"/>
          <w:sz w:val="24"/>
          <w:szCs w:val="24"/>
        </w:rPr>
      </w:pPr>
    </w:p>
    <w:p w:rsidR="00DE3793" w:rsidRPr="00047B3A" w:rsidRDefault="00DE3793" w:rsidP="00DE3793">
      <w:pPr>
        <w:spacing w:after="0" w:line="360" w:lineRule="auto"/>
        <w:ind w:left="720"/>
        <w:jc w:val="both"/>
        <w:rPr>
          <w:rFonts w:ascii="Times New Roman" w:hAnsi="Times New Roman" w:cs="Times New Roman"/>
          <w:sz w:val="24"/>
          <w:szCs w:val="24"/>
        </w:rPr>
      </w:pPr>
      <w:r w:rsidRPr="00047B3A">
        <w:rPr>
          <w:rFonts w:ascii="Times New Roman" w:hAnsi="Times New Roman" w:cs="Times New Roman"/>
          <w:sz w:val="24"/>
          <w:szCs w:val="24"/>
        </w:rPr>
        <w:t xml:space="preserve">Clearly, in the instant case, being a case centred on a contractual </w:t>
      </w:r>
    </w:p>
    <w:p w:rsidR="003A40FE" w:rsidRPr="00047B3A" w:rsidRDefault="00DE3793" w:rsidP="00DE3793">
      <w:pPr>
        <w:spacing w:after="0" w:line="360" w:lineRule="auto"/>
        <w:jc w:val="both"/>
        <w:rPr>
          <w:rFonts w:ascii="Times New Roman" w:hAnsi="Times New Roman" w:cs="Times New Roman"/>
          <w:sz w:val="24"/>
          <w:szCs w:val="24"/>
        </w:rPr>
      </w:pPr>
      <w:proofErr w:type="gramStart"/>
      <w:r w:rsidRPr="00047B3A">
        <w:rPr>
          <w:rFonts w:ascii="Times New Roman" w:hAnsi="Times New Roman" w:cs="Times New Roman"/>
          <w:sz w:val="24"/>
          <w:szCs w:val="24"/>
        </w:rPr>
        <w:t>agreement</w:t>
      </w:r>
      <w:proofErr w:type="gramEnd"/>
      <w:r w:rsidRPr="00047B3A">
        <w:rPr>
          <w:rFonts w:ascii="Times New Roman" w:hAnsi="Times New Roman" w:cs="Times New Roman"/>
          <w:sz w:val="24"/>
          <w:szCs w:val="24"/>
        </w:rPr>
        <w:t>, the prescriptive period must be three years. Put differently, the obligation to transfer the property would be extinguished by prescription after a period of three years from the date it became due</w:t>
      </w:r>
      <w:r w:rsidR="003A40FE" w:rsidRPr="00047B3A">
        <w:rPr>
          <w:rFonts w:ascii="Times New Roman" w:hAnsi="Times New Roman" w:cs="Times New Roman"/>
          <w:sz w:val="24"/>
          <w:szCs w:val="24"/>
        </w:rPr>
        <w:t>.</w:t>
      </w:r>
    </w:p>
    <w:p w:rsidR="003A40FE" w:rsidRPr="00047B3A" w:rsidRDefault="003A40FE" w:rsidP="00DE3793">
      <w:pPr>
        <w:spacing w:after="0" w:line="360" w:lineRule="auto"/>
        <w:jc w:val="both"/>
        <w:rPr>
          <w:rFonts w:ascii="Times New Roman" w:hAnsi="Times New Roman" w:cs="Times New Roman"/>
          <w:sz w:val="24"/>
          <w:szCs w:val="24"/>
        </w:rPr>
      </w:pPr>
      <w:r w:rsidRPr="00047B3A">
        <w:rPr>
          <w:rFonts w:ascii="Times New Roman" w:hAnsi="Times New Roman" w:cs="Times New Roman"/>
          <w:sz w:val="24"/>
          <w:szCs w:val="24"/>
        </w:rPr>
        <w:tab/>
      </w:r>
      <w:r w:rsidR="006F7863">
        <w:rPr>
          <w:rFonts w:ascii="Times New Roman" w:hAnsi="Times New Roman" w:cs="Times New Roman"/>
          <w:sz w:val="24"/>
          <w:szCs w:val="24"/>
        </w:rPr>
        <w:t>Section</w:t>
      </w:r>
      <w:r w:rsidRPr="00047B3A">
        <w:rPr>
          <w:rFonts w:ascii="Times New Roman" w:hAnsi="Times New Roman" w:cs="Times New Roman"/>
          <w:sz w:val="24"/>
          <w:szCs w:val="24"/>
        </w:rPr>
        <w:t xml:space="preserve"> 16(1) of the same Act goes further to state that:</w:t>
      </w:r>
    </w:p>
    <w:p w:rsidR="003A40FE" w:rsidRPr="00047B3A" w:rsidRDefault="003A40FE" w:rsidP="003A40FE">
      <w:pPr>
        <w:spacing w:after="0" w:line="240" w:lineRule="auto"/>
        <w:ind w:left="720" w:hanging="720"/>
        <w:jc w:val="both"/>
        <w:rPr>
          <w:rFonts w:ascii="Times New Roman" w:hAnsi="Times New Roman" w:cs="Times New Roman"/>
          <w:sz w:val="24"/>
          <w:szCs w:val="24"/>
        </w:rPr>
      </w:pPr>
      <w:r w:rsidRPr="00047B3A">
        <w:rPr>
          <w:rFonts w:ascii="Times New Roman" w:hAnsi="Times New Roman" w:cs="Times New Roman"/>
          <w:sz w:val="24"/>
          <w:szCs w:val="24"/>
        </w:rPr>
        <w:tab/>
        <w:t>“(1)</w:t>
      </w:r>
      <w:r w:rsidRPr="00047B3A">
        <w:rPr>
          <w:rFonts w:ascii="Times New Roman" w:hAnsi="Times New Roman" w:cs="Times New Roman"/>
          <w:sz w:val="24"/>
          <w:szCs w:val="24"/>
        </w:rPr>
        <w:tab/>
        <w:t xml:space="preserve">Subject to subs (2) and (3), prescription shall commence to run as </w:t>
      </w:r>
    </w:p>
    <w:p w:rsidR="003A40FE" w:rsidRPr="00047B3A" w:rsidRDefault="003A40FE" w:rsidP="003A40FE">
      <w:pPr>
        <w:spacing w:after="0" w:line="240" w:lineRule="auto"/>
        <w:ind w:left="720" w:firstLine="720"/>
        <w:jc w:val="both"/>
        <w:rPr>
          <w:rFonts w:ascii="Times New Roman" w:hAnsi="Times New Roman" w:cs="Times New Roman"/>
          <w:sz w:val="24"/>
          <w:szCs w:val="24"/>
        </w:rPr>
      </w:pPr>
      <w:proofErr w:type="gramStart"/>
      <w:r w:rsidRPr="00047B3A">
        <w:rPr>
          <w:rFonts w:ascii="Times New Roman" w:hAnsi="Times New Roman" w:cs="Times New Roman"/>
          <w:sz w:val="24"/>
          <w:szCs w:val="24"/>
        </w:rPr>
        <w:t>soon</w:t>
      </w:r>
      <w:proofErr w:type="gramEnd"/>
      <w:r w:rsidRPr="00047B3A">
        <w:rPr>
          <w:rFonts w:ascii="Times New Roman" w:hAnsi="Times New Roman" w:cs="Times New Roman"/>
          <w:sz w:val="24"/>
          <w:szCs w:val="24"/>
        </w:rPr>
        <w:t xml:space="preserve"> as a debt is due”.</w:t>
      </w:r>
    </w:p>
    <w:p w:rsidR="003A40FE" w:rsidRPr="00047B3A" w:rsidRDefault="003A40FE" w:rsidP="003A40FE">
      <w:pPr>
        <w:spacing w:after="0" w:line="240" w:lineRule="auto"/>
        <w:jc w:val="both"/>
        <w:rPr>
          <w:rFonts w:ascii="Times New Roman" w:hAnsi="Times New Roman" w:cs="Times New Roman"/>
          <w:sz w:val="24"/>
          <w:szCs w:val="24"/>
        </w:rPr>
      </w:pPr>
    </w:p>
    <w:p w:rsidR="00AB3643" w:rsidRPr="00047B3A" w:rsidRDefault="003A40FE" w:rsidP="003A40FE">
      <w:pPr>
        <w:spacing w:after="0" w:line="360" w:lineRule="auto"/>
        <w:jc w:val="both"/>
        <w:rPr>
          <w:rFonts w:ascii="Times New Roman" w:hAnsi="Times New Roman" w:cs="Times New Roman"/>
          <w:sz w:val="24"/>
          <w:szCs w:val="24"/>
        </w:rPr>
      </w:pPr>
      <w:r w:rsidRPr="00047B3A">
        <w:rPr>
          <w:rFonts w:ascii="Times New Roman" w:hAnsi="Times New Roman" w:cs="Times New Roman"/>
          <w:sz w:val="24"/>
          <w:szCs w:val="24"/>
        </w:rPr>
        <w:tab/>
        <w:t>In the light of the provisions of s 16(1) (</w:t>
      </w:r>
      <w:r w:rsidRPr="00047B3A">
        <w:rPr>
          <w:rFonts w:ascii="Times New Roman" w:hAnsi="Times New Roman" w:cs="Times New Roman"/>
          <w:i/>
          <w:sz w:val="24"/>
          <w:szCs w:val="24"/>
        </w:rPr>
        <w:t>supra</w:t>
      </w:r>
      <w:r w:rsidRPr="00047B3A">
        <w:rPr>
          <w:rFonts w:ascii="Times New Roman" w:hAnsi="Times New Roman" w:cs="Times New Roman"/>
          <w:sz w:val="24"/>
          <w:szCs w:val="24"/>
        </w:rPr>
        <w:t xml:space="preserve">) the next pertinent issue to be determined would be to consider when precisely the plaintiff’s cause arose? See the case of </w:t>
      </w:r>
      <w:proofErr w:type="spellStart"/>
      <w:r w:rsidRPr="00047B3A">
        <w:rPr>
          <w:rFonts w:ascii="Times New Roman" w:hAnsi="Times New Roman" w:cs="Times New Roman"/>
          <w:i/>
          <w:sz w:val="24"/>
          <w:szCs w:val="24"/>
        </w:rPr>
        <w:t>Dube</w:t>
      </w:r>
      <w:proofErr w:type="spellEnd"/>
      <w:r w:rsidRPr="00047B3A">
        <w:rPr>
          <w:rFonts w:ascii="Times New Roman" w:hAnsi="Times New Roman" w:cs="Times New Roman"/>
          <w:sz w:val="24"/>
          <w:szCs w:val="24"/>
        </w:rPr>
        <w:t xml:space="preserve"> v </w:t>
      </w:r>
      <w:r w:rsidRPr="00047B3A">
        <w:rPr>
          <w:rFonts w:ascii="Times New Roman" w:hAnsi="Times New Roman" w:cs="Times New Roman"/>
          <w:i/>
          <w:sz w:val="24"/>
          <w:szCs w:val="24"/>
        </w:rPr>
        <w:t>Banana</w:t>
      </w:r>
      <w:r w:rsidRPr="00047B3A">
        <w:rPr>
          <w:rStyle w:val="FootnoteReference"/>
          <w:rFonts w:ascii="Times New Roman" w:hAnsi="Times New Roman" w:cs="Times New Roman"/>
          <w:i/>
          <w:sz w:val="24"/>
          <w:szCs w:val="24"/>
        </w:rPr>
        <w:footnoteReference w:id="2"/>
      </w:r>
      <w:r w:rsidRPr="00047B3A">
        <w:rPr>
          <w:rFonts w:ascii="Times New Roman" w:hAnsi="Times New Roman" w:cs="Times New Roman"/>
          <w:sz w:val="24"/>
          <w:szCs w:val="24"/>
        </w:rPr>
        <w:t xml:space="preserve"> </w:t>
      </w:r>
      <w:r w:rsidR="00D97F28" w:rsidRPr="00047B3A">
        <w:rPr>
          <w:rFonts w:ascii="Times New Roman" w:hAnsi="Times New Roman" w:cs="Times New Roman"/>
          <w:sz w:val="24"/>
          <w:szCs w:val="24"/>
        </w:rPr>
        <w:t xml:space="preserve">and </w:t>
      </w:r>
      <w:r w:rsidR="00D97F28" w:rsidRPr="00047B3A">
        <w:rPr>
          <w:rFonts w:ascii="Times New Roman" w:hAnsi="Times New Roman" w:cs="Times New Roman"/>
          <w:i/>
          <w:sz w:val="24"/>
          <w:szCs w:val="24"/>
        </w:rPr>
        <w:t>Gumbo</w:t>
      </w:r>
      <w:r w:rsidR="00D97F28" w:rsidRPr="00047B3A">
        <w:rPr>
          <w:rFonts w:ascii="Times New Roman" w:hAnsi="Times New Roman" w:cs="Times New Roman"/>
          <w:sz w:val="24"/>
          <w:szCs w:val="24"/>
        </w:rPr>
        <w:t xml:space="preserve"> v </w:t>
      </w:r>
      <w:proofErr w:type="spellStart"/>
      <w:r w:rsidR="00D97F28" w:rsidRPr="00047B3A">
        <w:rPr>
          <w:rFonts w:ascii="Times New Roman" w:hAnsi="Times New Roman" w:cs="Times New Roman"/>
          <w:i/>
          <w:sz w:val="24"/>
          <w:szCs w:val="24"/>
        </w:rPr>
        <w:t>Sunganeyi</w:t>
      </w:r>
      <w:proofErr w:type="spellEnd"/>
      <w:r w:rsidR="00D97F28" w:rsidRPr="00047B3A">
        <w:rPr>
          <w:rFonts w:ascii="Times New Roman" w:hAnsi="Times New Roman" w:cs="Times New Roman"/>
          <w:i/>
          <w:sz w:val="24"/>
          <w:szCs w:val="24"/>
        </w:rPr>
        <w:t xml:space="preserve"> Motorways </w:t>
      </w:r>
      <w:r w:rsidR="00D97F28" w:rsidRPr="00047B3A">
        <w:rPr>
          <w:rFonts w:ascii="Times New Roman" w:hAnsi="Times New Roman" w:cs="Times New Roman"/>
          <w:sz w:val="24"/>
          <w:szCs w:val="24"/>
        </w:rPr>
        <w:t>(</w:t>
      </w:r>
      <w:r w:rsidR="00D97F28" w:rsidRPr="00047B3A">
        <w:rPr>
          <w:rFonts w:ascii="Times New Roman" w:hAnsi="Times New Roman" w:cs="Times New Roman"/>
          <w:i/>
          <w:sz w:val="24"/>
          <w:szCs w:val="24"/>
        </w:rPr>
        <w:t>Pvt</w:t>
      </w:r>
      <w:r w:rsidR="00D97F28" w:rsidRPr="00047B3A">
        <w:rPr>
          <w:rFonts w:ascii="Times New Roman" w:hAnsi="Times New Roman" w:cs="Times New Roman"/>
          <w:sz w:val="24"/>
          <w:szCs w:val="24"/>
        </w:rPr>
        <w:t>)</w:t>
      </w:r>
      <w:r w:rsidR="00D97F28" w:rsidRPr="00047B3A">
        <w:rPr>
          <w:rStyle w:val="FootnoteReference"/>
          <w:rFonts w:ascii="Times New Roman" w:hAnsi="Times New Roman" w:cs="Times New Roman"/>
          <w:sz w:val="24"/>
          <w:szCs w:val="24"/>
        </w:rPr>
        <w:footnoteReference w:id="3"/>
      </w:r>
      <w:r w:rsidR="00DE3793" w:rsidRPr="00047B3A">
        <w:rPr>
          <w:rFonts w:ascii="Times New Roman" w:hAnsi="Times New Roman" w:cs="Times New Roman"/>
          <w:sz w:val="24"/>
          <w:szCs w:val="24"/>
        </w:rPr>
        <w:t xml:space="preserve"> </w:t>
      </w:r>
      <w:r w:rsidR="00AB3643" w:rsidRPr="00047B3A">
        <w:rPr>
          <w:rFonts w:ascii="Times New Roman" w:hAnsi="Times New Roman" w:cs="Times New Roman"/>
          <w:sz w:val="24"/>
          <w:szCs w:val="24"/>
        </w:rPr>
        <w:t>and a hos</w:t>
      </w:r>
      <w:r w:rsidR="000B558F" w:rsidRPr="00047B3A">
        <w:rPr>
          <w:rFonts w:ascii="Times New Roman" w:hAnsi="Times New Roman" w:cs="Times New Roman"/>
          <w:sz w:val="24"/>
          <w:szCs w:val="24"/>
        </w:rPr>
        <w:t>t</w:t>
      </w:r>
      <w:r w:rsidR="00AB3643" w:rsidRPr="00047B3A">
        <w:rPr>
          <w:rFonts w:ascii="Times New Roman" w:hAnsi="Times New Roman" w:cs="Times New Roman"/>
          <w:sz w:val="24"/>
          <w:szCs w:val="24"/>
        </w:rPr>
        <w:t xml:space="preserve"> of other cases referred in these cases.</w:t>
      </w:r>
    </w:p>
    <w:p w:rsidR="00B23757" w:rsidRPr="00047B3A" w:rsidRDefault="00AB3643" w:rsidP="003A40FE">
      <w:pPr>
        <w:spacing w:after="0" w:line="360" w:lineRule="auto"/>
        <w:jc w:val="both"/>
        <w:rPr>
          <w:rFonts w:ascii="Times New Roman" w:hAnsi="Times New Roman" w:cs="Times New Roman"/>
          <w:sz w:val="24"/>
          <w:szCs w:val="24"/>
        </w:rPr>
      </w:pPr>
      <w:r w:rsidRPr="00047B3A">
        <w:rPr>
          <w:rFonts w:ascii="Times New Roman" w:hAnsi="Times New Roman" w:cs="Times New Roman"/>
          <w:sz w:val="24"/>
          <w:szCs w:val="24"/>
        </w:rPr>
        <w:tab/>
        <w:t xml:space="preserve">In my brief assessment of the evidence in this case, I have already made a specific finding that the tenure of the plaintiff’s evidence was to the effect that he demanded the transfer of the property in question from the defendant in the year 2001. Having found no favourable response, the plaintiff did nothing until July 2008 when he decided to issue summons against the defendant in an effort to compel the latter to </w:t>
      </w:r>
      <w:proofErr w:type="gramStart"/>
      <w:r w:rsidRPr="00047B3A">
        <w:rPr>
          <w:rFonts w:ascii="Times New Roman" w:hAnsi="Times New Roman" w:cs="Times New Roman"/>
          <w:sz w:val="24"/>
          <w:szCs w:val="24"/>
        </w:rPr>
        <w:t>effect</w:t>
      </w:r>
      <w:proofErr w:type="gramEnd"/>
      <w:r w:rsidRPr="00047B3A">
        <w:rPr>
          <w:rFonts w:ascii="Times New Roman" w:hAnsi="Times New Roman" w:cs="Times New Roman"/>
          <w:sz w:val="24"/>
          <w:szCs w:val="24"/>
        </w:rPr>
        <w:t xml:space="preserve"> transfer. By simple calculation the Court process was issued exactly seven years after the cause of action had arisen. </w:t>
      </w:r>
    </w:p>
    <w:p w:rsidR="00B23757" w:rsidRPr="00047B3A" w:rsidRDefault="00B23757" w:rsidP="003A40FE">
      <w:pPr>
        <w:spacing w:after="0" w:line="360" w:lineRule="auto"/>
        <w:jc w:val="both"/>
        <w:rPr>
          <w:rFonts w:ascii="Times New Roman" w:hAnsi="Times New Roman" w:cs="Times New Roman"/>
          <w:sz w:val="24"/>
          <w:szCs w:val="24"/>
        </w:rPr>
      </w:pPr>
      <w:r w:rsidRPr="00047B3A">
        <w:rPr>
          <w:rFonts w:ascii="Times New Roman" w:hAnsi="Times New Roman" w:cs="Times New Roman"/>
          <w:sz w:val="24"/>
          <w:szCs w:val="24"/>
        </w:rPr>
        <w:tab/>
        <w:t xml:space="preserve">The casual </w:t>
      </w:r>
      <w:r w:rsidR="006F7863">
        <w:rPr>
          <w:rFonts w:ascii="Times New Roman" w:hAnsi="Times New Roman" w:cs="Times New Roman"/>
          <w:sz w:val="24"/>
          <w:szCs w:val="24"/>
        </w:rPr>
        <w:t>or</w:t>
      </w:r>
      <w:r w:rsidRPr="00047B3A">
        <w:rPr>
          <w:rFonts w:ascii="Times New Roman" w:hAnsi="Times New Roman" w:cs="Times New Roman"/>
          <w:sz w:val="24"/>
          <w:szCs w:val="24"/>
        </w:rPr>
        <w:t xml:space="preserve"> lackadaisical approach adopted by the plaintiff in handling this case clearly </w:t>
      </w:r>
      <w:r w:rsidR="006F7863">
        <w:rPr>
          <w:rFonts w:ascii="Times New Roman" w:hAnsi="Times New Roman" w:cs="Times New Roman"/>
          <w:sz w:val="24"/>
          <w:szCs w:val="24"/>
        </w:rPr>
        <w:t xml:space="preserve">ran </w:t>
      </w:r>
      <w:proofErr w:type="spellStart"/>
      <w:r w:rsidRPr="00047B3A">
        <w:rPr>
          <w:rFonts w:ascii="Times New Roman" w:hAnsi="Times New Roman" w:cs="Times New Roman"/>
          <w:sz w:val="24"/>
          <w:szCs w:val="24"/>
        </w:rPr>
        <w:t>fo</w:t>
      </w:r>
      <w:r w:rsidR="006F7863">
        <w:rPr>
          <w:rFonts w:ascii="Times New Roman" w:hAnsi="Times New Roman" w:cs="Times New Roman"/>
          <w:sz w:val="24"/>
          <w:szCs w:val="24"/>
        </w:rPr>
        <w:t>u</w:t>
      </w:r>
      <w:r w:rsidRPr="00047B3A">
        <w:rPr>
          <w:rFonts w:ascii="Times New Roman" w:hAnsi="Times New Roman" w:cs="Times New Roman"/>
          <w:sz w:val="24"/>
          <w:szCs w:val="24"/>
        </w:rPr>
        <w:t>l</w:t>
      </w:r>
      <w:proofErr w:type="spellEnd"/>
      <w:r w:rsidRPr="00047B3A">
        <w:rPr>
          <w:rFonts w:ascii="Times New Roman" w:hAnsi="Times New Roman" w:cs="Times New Roman"/>
          <w:sz w:val="24"/>
          <w:szCs w:val="24"/>
        </w:rPr>
        <w:t xml:space="preserve"> of the Prescription Act. The plaintiff did not help himself. There has to be finality to litigation. In this regard I can do no more than refer to the remarks by CHIDYAUSIKU J (now Chief Justice of Zimbabwe) when he stated as follows:-</w:t>
      </w:r>
    </w:p>
    <w:p w:rsidR="00B23757" w:rsidRPr="00047B3A" w:rsidRDefault="00B23757" w:rsidP="00B23757">
      <w:pPr>
        <w:spacing w:after="0" w:line="240" w:lineRule="auto"/>
        <w:ind w:left="720"/>
        <w:jc w:val="both"/>
        <w:rPr>
          <w:rFonts w:ascii="Times New Roman" w:hAnsi="Times New Roman" w:cs="Times New Roman"/>
          <w:sz w:val="24"/>
          <w:szCs w:val="24"/>
        </w:rPr>
      </w:pPr>
      <w:r w:rsidRPr="00047B3A">
        <w:rPr>
          <w:rFonts w:ascii="Times New Roman" w:hAnsi="Times New Roman" w:cs="Times New Roman"/>
          <w:sz w:val="24"/>
          <w:szCs w:val="24"/>
        </w:rPr>
        <w:t xml:space="preserve">“The delay here is 5 </w:t>
      </w:r>
      <w:proofErr w:type="gramStart"/>
      <w:r w:rsidRPr="00047B3A">
        <w:rPr>
          <w:rFonts w:ascii="Times New Roman" w:hAnsi="Times New Roman" w:cs="Times New Roman"/>
          <w:sz w:val="24"/>
          <w:szCs w:val="24"/>
        </w:rPr>
        <w:t>years,</w:t>
      </w:r>
      <w:proofErr w:type="gramEnd"/>
      <w:r w:rsidRPr="00047B3A">
        <w:rPr>
          <w:rFonts w:ascii="Times New Roman" w:hAnsi="Times New Roman" w:cs="Times New Roman"/>
          <w:sz w:val="24"/>
          <w:szCs w:val="24"/>
        </w:rPr>
        <w:t xml:space="preserve"> this by any standard is an inordinate delay. There has to be finality to litigation. Those who sit on their litigation until cows come home have only themselves to blame if </w:t>
      </w:r>
      <w:proofErr w:type="spellStart"/>
      <w:r w:rsidRPr="00047B3A">
        <w:rPr>
          <w:rFonts w:ascii="Times New Roman" w:hAnsi="Times New Roman" w:cs="Times New Roman"/>
          <w:sz w:val="24"/>
          <w:szCs w:val="24"/>
        </w:rPr>
        <w:t>condonation</w:t>
      </w:r>
      <w:proofErr w:type="spellEnd"/>
      <w:r w:rsidRPr="00047B3A">
        <w:rPr>
          <w:rFonts w:ascii="Times New Roman" w:hAnsi="Times New Roman" w:cs="Times New Roman"/>
          <w:sz w:val="24"/>
          <w:szCs w:val="24"/>
        </w:rPr>
        <w:t xml:space="preserve"> is refused when they finally wake up from their years of somnambulism”</w:t>
      </w:r>
      <w:r w:rsidRPr="00047B3A">
        <w:rPr>
          <w:rStyle w:val="FootnoteReference"/>
          <w:rFonts w:ascii="Times New Roman" w:hAnsi="Times New Roman" w:cs="Times New Roman"/>
          <w:sz w:val="24"/>
          <w:szCs w:val="24"/>
        </w:rPr>
        <w:footnoteReference w:id="4"/>
      </w:r>
      <w:r w:rsidRPr="00047B3A">
        <w:rPr>
          <w:rFonts w:ascii="Times New Roman" w:hAnsi="Times New Roman" w:cs="Times New Roman"/>
          <w:sz w:val="24"/>
          <w:szCs w:val="24"/>
        </w:rPr>
        <w:t xml:space="preserve"> </w:t>
      </w:r>
    </w:p>
    <w:p w:rsidR="00B23757" w:rsidRPr="00047B3A" w:rsidRDefault="00B23757" w:rsidP="00B23757">
      <w:pPr>
        <w:spacing w:after="0" w:line="240" w:lineRule="auto"/>
        <w:ind w:left="720"/>
        <w:jc w:val="both"/>
        <w:rPr>
          <w:rFonts w:ascii="Times New Roman" w:hAnsi="Times New Roman" w:cs="Times New Roman"/>
          <w:sz w:val="24"/>
          <w:szCs w:val="24"/>
        </w:rPr>
      </w:pPr>
    </w:p>
    <w:p w:rsidR="00B23757" w:rsidRPr="00047B3A" w:rsidRDefault="00B23757" w:rsidP="007656F8">
      <w:pPr>
        <w:spacing w:after="0" w:line="360" w:lineRule="auto"/>
        <w:ind w:left="720"/>
        <w:jc w:val="both"/>
        <w:rPr>
          <w:rFonts w:ascii="Times New Roman" w:hAnsi="Times New Roman" w:cs="Times New Roman"/>
          <w:sz w:val="24"/>
          <w:szCs w:val="24"/>
        </w:rPr>
      </w:pPr>
      <w:r w:rsidRPr="00047B3A">
        <w:rPr>
          <w:rFonts w:ascii="Times New Roman" w:hAnsi="Times New Roman" w:cs="Times New Roman"/>
          <w:sz w:val="24"/>
          <w:szCs w:val="24"/>
        </w:rPr>
        <w:t xml:space="preserve">The need for litigants to timeously bring their dispute to Courts for </w:t>
      </w:r>
    </w:p>
    <w:p w:rsidR="007656F8" w:rsidRPr="00047B3A" w:rsidRDefault="00B23757" w:rsidP="00B23757">
      <w:pPr>
        <w:spacing w:after="0" w:line="240" w:lineRule="auto"/>
        <w:jc w:val="both"/>
        <w:rPr>
          <w:rFonts w:ascii="Times New Roman" w:hAnsi="Times New Roman" w:cs="Times New Roman"/>
          <w:sz w:val="24"/>
          <w:szCs w:val="24"/>
        </w:rPr>
      </w:pPr>
      <w:proofErr w:type="gramStart"/>
      <w:r w:rsidRPr="00047B3A">
        <w:rPr>
          <w:rFonts w:ascii="Times New Roman" w:hAnsi="Times New Roman" w:cs="Times New Roman"/>
          <w:sz w:val="24"/>
          <w:szCs w:val="24"/>
        </w:rPr>
        <w:t>resolution</w:t>
      </w:r>
      <w:proofErr w:type="gramEnd"/>
      <w:r w:rsidRPr="00047B3A">
        <w:rPr>
          <w:rFonts w:ascii="Times New Roman" w:hAnsi="Times New Roman" w:cs="Times New Roman"/>
          <w:sz w:val="24"/>
          <w:szCs w:val="24"/>
        </w:rPr>
        <w:t xml:space="preserve"> cannot be over</w:t>
      </w:r>
      <w:r w:rsidR="007656F8" w:rsidRPr="00047B3A">
        <w:rPr>
          <w:rFonts w:ascii="Times New Roman" w:hAnsi="Times New Roman" w:cs="Times New Roman"/>
          <w:sz w:val="24"/>
          <w:szCs w:val="24"/>
        </w:rPr>
        <w:t>-</w:t>
      </w:r>
      <w:r w:rsidRPr="00047B3A">
        <w:rPr>
          <w:rFonts w:ascii="Times New Roman" w:hAnsi="Times New Roman" w:cs="Times New Roman"/>
          <w:sz w:val="24"/>
          <w:szCs w:val="24"/>
        </w:rPr>
        <w:t>emphasi</w:t>
      </w:r>
      <w:r w:rsidR="007656F8" w:rsidRPr="00047B3A">
        <w:rPr>
          <w:rFonts w:ascii="Times New Roman" w:hAnsi="Times New Roman" w:cs="Times New Roman"/>
          <w:sz w:val="24"/>
          <w:szCs w:val="24"/>
        </w:rPr>
        <w:t>s</w:t>
      </w:r>
      <w:r w:rsidRPr="00047B3A">
        <w:rPr>
          <w:rFonts w:ascii="Times New Roman" w:hAnsi="Times New Roman" w:cs="Times New Roman"/>
          <w:sz w:val="24"/>
          <w:szCs w:val="24"/>
        </w:rPr>
        <w:t xml:space="preserve">ed. </w:t>
      </w:r>
    </w:p>
    <w:p w:rsidR="007656F8" w:rsidRPr="00047B3A" w:rsidRDefault="00AB3643" w:rsidP="00B23757">
      <w:pPr>
        <w:spacing w:after="0" w:line="240" w:lineRule="auto"/>
        <w:jc w:val="both"/>
        <w:rPr>
          <w:rFonts w:ascii="Times New Roman" w:hAnsi="Times New Roman" w:cs="Times New Roman"/>
          <w:sz w:val="24"/>
          <w:szCs w:val="24"/>
        </w:rPr>
      </w:pPr>
      <w:r w:rsidRPr="00047B3A">
        <w:rPr>
          <w:rFonts w:ascii="Times New Roman" w:hAnsi="Times New Roman" w:cs="Times New Roman"/>
          <w:sz w:val="24"/>
          <w:szCs w:val="24"/>
        </w:rPr>
        <w:t xml:space="preserve"> </w:t>
      </w:r>
    </w:p>
    <w:p w:rsidR="00071CFA" w:rsidRPr="00047B3A" w:rsidRDefault="007656F8" w:rsidP="009355FC">
      <w:pPr>
        <w:spacing w:after="0" w:line="360" w:lineRule="auto"/>
        <w:jc w:val="both"/>
        <w:rPr>
          <w:rFonts w:ascii="Times New Roman" w:hAnsi="Times New Roman" w:cs="Times New Roman"/>
          <w:sz w:val="24"/>
          <w:szCs w:val="24"/>
        </w:rPr>
      </w:pPr>
      <w:r w:rsidRPr="00047B3A">
        <w:rPr>
          <w:rFonts w:ascii="Times New Roman" w:hAnsi="Times New Roman" w:cs="Times New Roman"/>
          <w:sz w:val="24"/>
          <w:szCs w:val="24"/>
        </w:rPr>
        <w:lastRenderedPageBreak/>
        <w:tab/>
        <w:t>SWAIN J</w:t>
      </w:r>
      <w:r w:rsidRPr="00047B3A">
        <w:rPr>
          <w:rStyle w:val="FootnoteReference"/>
          <w:rFonts w:ascii="Times New Roman" w:hAnsi="Times New Roman" w:cs="Times New Roman"/>
          <w:sz w:val="24"/>
          <w:szCs w:val="24"/>
        </w:rPr>
        <w:footnoteReference w:id="5"/>
      </w:r>
      <w:r w:rsidR="009355FC" w:rsidRPr="00047B3A">
        <w:rPr>
          <w:rFonts w:ascii="Times New Roman" w:hAnsi="Times New Roman" w:cs="Times New Roman"/>
          <w:sz w:val="24"/>
          <w:szCs w:val="24"/>
        </w:rPr>
        <w:t xml:space="preserve"> in his judgment delivered on 6 January 2011 aptly summed up the rationale of extinctive prescription when he made reference to the wise words of GROSSKOPF A.J.A. (as he then was) in the case of </w:t>
      </w:r>
      <w:r w:rsidR="009355FC" w:rsidRPr="00047B3A">
        <w:rPr>
          <w:rFonts w:ascii="Times New Roman" w:hAnsi="Times New Roman" w:cs="Times New Roman"/>
          <w:i/>
          <w:sz w:val="24"/>
          <w:szCs w:val="24"/>
        </w:rPr>
        <w:t xml:space="preserve">Murray and Roberts Construction </w:t>
      </w:r>
      <w:r w:rsidR="009355FC" w:rsidRPr="00047B3A">
        <w:rPr>
          <w:rFonts w:ascii="Times New Roman" w:hAnsi="Times New Roman" w:cs="Times New Roman"/>
          <w:sz w:val="24"/>
          <w:szCs w:val="24"/>
        </w:rPr>
        <w:t>(</w:t>
      </w:r>
      <w:r w:rsidR="009355FC" w:rsidRPr="00047B3A">
        <w:rPr>
          <w:rFonts w:ascii="Times New Roman" w:hAnsi="Times New Roman" w:cs="Times New Roman"/>
          <w:i/>
          <w:sz w:val="24"/>
          <w:szCs w:val="24"/>
        </w:rPr>
        <w:t>Cape</w:t>
      </w:r>
      <w:r w:rsidR="009355FC" w:rsidRPr="00047B3A">
        <w:rPr>
          <w:rFonts w:ascii="Times New Roman" w:hAnsi="Times New Roman" w:cs="Times New Roman"/>
          <w:sz w:val="24"/>
          <w:szCs w:val="24"/>
        </w:rPr>
        <w:t>) (</w:t>
      </w:r>
      <w:proofErr w:type="spellStart"/>
      <w:r w:rsidR="009355FC" w:rsidRPr="00047B3A">
        <w:rPr>
          <w:rFonts w:ascii="Times New Roman" w:hAnsi="Times New Roman" w:cs="Times New Roman"/>
          <w:i/>
          <w:sz w:val="24"/>
          <w:szCs w:val="24"/>
        </w:rPr>
        <w:t>Pvty</w:t>
      </w:r>
      <w:proofErr w:type="spellEnd"/>
      <w:r w:rsidR="009355FC" w:rsidRPr="00047B3A">
        <w:rPr>
          <w:rFonts w:ascii="Times New Roman" w:hAnsi="Times New Roman" w:cs="Times New Roman"/>
          <w:sz w:val="24"/>
          <w:szCs w:val="24"/>
        </w:rPr>
        <w:t xml:space="preserve">) </w:t>
      </w:r>
      <w:r w:rsidR="009355FC" w:rsidRPr="00047B3A">
        <w:rPr>
          <w:rFonts w:ascii="Times New Roman" w:hAnsi="Times New Roman" w:cs="Times New Roman"/>
          <w:i/>
          <w:sz w:val="24"/>
          <w:szCs w:val="24"/>
        </w:rPr>
        <w:t xml:space="preserve">Ltd </w:t>
      </w:r>
      <w:r w:rsidR="009355FC" w:rsidRPr="00047B3A">
        <w:rPr>
          <w:rFonts w:ascii="Times New Roman" w:hAnsi="Times New Roman" w:cs="Times New Roman"/>
          <w:sz w:val="24"/>
          <w:szCs w:val="24"/>
        </w:rPr>
        <w:t xml:space="preserve">v </w:t>
      </w:r>
      <w:proofErr w:type="spellStart"/>
      <w:r w:rsidR="009355FC" w:rsidRPr="00047B3A">
        <w:rPr>
          <w:rFonts w:ascii="Times New Roman" w:hAnsi="Times New Roman" w:cs="Times New Roman"/>
          <w:i/>
          <w:sz w:val="24"/>
          <w:szCs w:val="24"/>
        </w:rPr>
        <w:t>Upington</w:t>
      </w:r>
      <w:proofErr w:type="spellEnd"/>
      <w:r w:rsidR="009355FC" w:rsidRPr="00047B3A">
        <w:rPr>
          <w:rFonts w:ascii="Times New Roman" w:hAnsi="Times New Roman" w:cs="Times New Roman"/>
          <w:i/>
          <w:sz w:val="24"/>
          <w:szCs w:val="24"/>
        </w:rPr>
        <w:t xml:space="preserve"> Municipality</w:t>
      </w:r>
      <w:r w:rsidR="009355FC" w:rsidRPr="00047B3A">
        <w:rPr>
          <w:rStyle w:val="FootnoteReference"/>
          <w:rFonts w:ascii="Times New Roman" w:hAnsi="Times New Roman" w:cs="Times New Roman"/>
          <w:i/>
          <w:sz w:val="24"/>
          <w:szCs w:val="24"/>
        </w:rPr>
        <w:footnoteReference w:id="6"/>
      </w:r>
      <w:r w:rsidR="009355FC" w:rsidRPr="00047B3A">
        <w:rPr>
          <w:rFonts w:ascii="Times New Roman" w:hAnsi="Times New Roman" w:cs="Times New Roman"/>
          <w:sz w:val="24"/>
          <w:szCs w:val="24"/>
        </w:rPr>
        <w:t xml:space="preserve"> </w:t>
      </w:r>
      <w:r w:rsidR="00071CFA" w:rsidRPr="00047B3A">
        <w:rPr>
          <w:rFonts w:ascii="Times New Roman" w:hAnsi="Times New Roman" w:cs="Times New Roman"/>
          <w:sz w:val="24"/>
          <w:szCs w:val="24"/>
        </w:rPr>
        <w:t>where the learned judge stated:-</w:t>
      </w:r>
    </w:p>
    <w:p w:rsidR="002B534F" w:rsidRPr="00047B3A" w:rsidRDefault="00071CFA" w:rsidP="00CA636E">
      <w:pPr>
        <w:spacing w:after="0" w:line="240" w:lineRule="auto"/>
        <w:ind w:left="720"/>
        <w:jc w:val="both"/>
        <w:rPr>
          <w:rFonts w:ascii="Times New Roman" w:hAnsi="Times New Roman" w:cs="Times New Roman"/>
          <w:sz w:val="24"/>
          <w:szCs w:val="24"/>
        </w:rPr>
      </w:pPr>
      <w:r w:rsidRPr="00047B3A">
        <w:rPr>
          <w:rFonts w:ascii="Times New Roman" w:hAnsi="Times New Roman" w:cs="Times New Roman"/>
          <w:sz w:val="24"/>
          <w:szCs w:val="24"/>
        </w:rPr>
        <w:t>“…. Its main practical purpose is to promote certainty in the ordinary affairs of people. Where a creditor lays claim to a debt which has be</w:t>
      </w:r>
      <w:r w:rsidR="00CA636E" w:rsidRPr="00047B3A">
        <w:rPr>
          <w:rFonts w:ascii="Times New Roman" w:hAnsi="Times New Roman" w:cs="Times New Roman"/>
          <w:sz w:val="24"/>
          <w:szCs w:val="24"/>
        </w:rPr>
        <w:t>e</w:t>
      </w:r>
      <w:r w:rsidRPr="00047B3A">
        <w:rPr>
          <w:rFonts w:ascii="Times New Roman" w:hAnsi="Times New Roman" w:cs="Times New Roman"/>
          <w:sz w:val="24"/>
          <w:szCs w:val="24"/>
        </w:rPr>
        <w:t>n due for a long period, doubt may exist as to whether a valid debt ever arose, or, if it did, whether it has been discharged</w:t>
      </w:r>
      <w:r w:rsidR="00CA636E" w:rsidRPr="00047B3A">
        <w:rPr>
          <w:rFonts w:ascii="Times New Roman" w:hAnsi="Times New Roman" w:cs="Times New Roman"/>
          <w:sz w:val="24"/>
          <w:szCs w:val="24"/>
        </w:rPr>
        <w:t>. The alleged debtor may have come to assume that no claim would be made, witnesses may have died, memories would have faded, documents or receipts may have been lost etc. These sources of uncertainty are reduced by imposing a time limit on the existence of a debt and the relevant time limits reflect, to some extent, the degree of uncertainty to which a particular type of debt is ordinarily subject”.</w:t>
      </w:r>
      <w:r w:rsidRPr="00047B3A">
        <w:rPr>
          <w:rFonts w:ascii="Times New Roman" w:hAnsi="Times New Roman" w:cs="Times New Roman"/>
          <w:sz w:val="24"/>
          <w:szCs w:val="24"/>
        </w:rPr>
        <w:t xml:space="preserve"> </w:t>
      </w:r>
    </w:p>
    <w:p w:rsidR="002B534F" w:rsidRPr="00047B3A" w:rsidRDefault="002B534F" w:rsidP="00CA636E">
      <w:pPr>
        <w:spacing w:after="0" w:line="240" w:lineRule="auto"/>
        <w:ind w:left="720"/>
        <w:jc w:val="both"/>
        <w:rPr>
          <w:rFonts w:ascii="Times New Roman" w:hAnsi="Times New Roman" w:cs="Times New Roman"/>
          <w:sz w:val="24"/>
          <w:szCs w:val="24"/>
        </w:rPr>
      </w:pPr>
    </w:p>
    <w:p w:rsidR="002B534F" w:rsidRPr="00047B3A" w:rsidRDefault="002B534F" w:rsidP="002B534F">
      <w:pPr>
        <w:spacing w:after="0" w:line="360" w:lineRule="auto"/>
        <w:ind w:left="720"/>
        <w:jc w:val="both"/>
        <w:rPr>
          <w:rFonts w:ascii="Times New Roman" w:hAnsi="Times New Roman" w:cs="Times New Roman"/>
          <w:sz w:val="24"/>
          <w:szCs w:val="24"/>
        </w:rPr>
      </w:pPr>
      <w:r w:rsidRPr="00047B3A">
        <w:rPr>
          <w:rFonts w:ascii="Times New Roman" w:hAnsi="Times New Roman" w:cs="Times New Roman"/>
          <w:sz w:val="24"/>
          <w:szCs w:val="24"/>
        </w:rPr>
        <w:t xml:space="preserve">I accordingly make a specific finding that the plaintiff’s claim, coming up </w:t>
      </w:r>
    </w:p>
    <w:p w:rsidR="002B534F" w:rsidRPr="00047B3A" w:rsidRDefault="002B534F" w:rsidP="002B534F">
      <w:pPr>
        <w:spacing w:after="0" w:line="360" w:lineRule="auto"/>
        <w:jc w:val="both"/>
        <w:rPr>
          <w:rFonts w:ascii="Times New Roman" w:hAnsi="Times New Roman" w:cs="Times New Roman"/>
          <w:sz w:val="24"/>
          <w:szCs w:val="24"/>
        </w:rPr>
      </w:pPr>
      <w:proofErr w:type="gramStart"/>
      <w:r w:rsidRPr="00047B3A">
        <w:rPr>
          <w:rFonts w:ascii="Times New Roman" w:hAnsi="Times New Roman" w:cs="Times New Roman"/>
          <w:sz w:val="24"/>
          <w:szCs w:val="24"/>
        </w:rPr>
        <w:t>after</w:t>
      </w:r>
      <w:proofErr w:type="gramEnd"/>
      <w:r w:rsidRPr="00047B3A">
        <w:rPr>
          <w:rFonts w:ascii="Times New Roman" w:hAnsi="Times New Roman" w:cs="Times New Roman"/>
          <w:sz w:val="24"/>
          <w:szCs w:val="24"/>
        </w:rPr>
        <w:t xml:space="preserve"> an inordinate delay of seven years has be</w:t>
      </w:r>
      <w:r w:rsidR="00D5053F" w:rsidRPr="00047B3A">
        <w:rPr>
          <w:rFonts w:ascii="Times New Roman" w:hAnsi="Times New Roman" w:cs="Times New Roman"/>
          <w:sz w:val="24"/>
          <w:szCs w:val="24"/>
        </w:rPr>
        <w:t>e</w:t>
      </w:r>
      <w:r w:rsidRPr="00047B3A">
        <w:rPr>
          <w:rFonts w:ascii="Times New Roman" w:hAnsi="Times New Roman" w:cs="Times New Roman"/>
          <w:sz w:val="24"/>
          <w:szCs w:val="24"/>
        </w:rPr>
        <w:t>n extinguished by prescription.</w:t>
      </w:r>
    </w:p>
    <w:p w:rsidR="002B534F" w:rsidRPr="00047B3A" w:rsidRDefault="002B534F" w:rsidP="002B534F">
      <w:pPr>
        <w:spacing w:after="0" w:line="360" w:lineRule="auto"/>
        <w:jc w:val="both"/>
        <w:rPr>
          <w:rFonts w:ascii="Times New Roman" w:hAnsi="Times New Roman" w:cs="Times New Roman"/>
          <w:sz w:val="24"/>
          <w:szCs w:val="24"/>
        </w:rPr>
      </w:pPr>
      <w:r w:rsidRPr="00047B3A">
        <w:rPr>
          <w:rFonts w:ascii="Times New Roman" w:hAnsi="Times New Roman" w:cs="Times New Roman"/>
          <w:sz w:val="24"/>
          <w:szCs w:val="24"/>
        </w:rPr>
        <w:tab/>
        <w:t>The plaintiff’s claim is dismissed with costs.</w:t>
      </w:r>
    </w:p>
    <w:p w:rsidR="002B534F" w:rsidRPr="00047B3A" w:rsidRDefault="002B534F" w:rsidP="002B534F">
      <w:pPr>
        <w:spacing w:after="0" w:line="360" w:lineRule="auto"/>
        <w:jc w:val="both"/>
        <w:rPr>
          <w:rFonts w:ascii="Times New Roman" w:hAnsi="Times New Roman" w:cs="Times New Roman"/>
          <w:sz w:val="24"/>
          <w:szCs w:val="24"/>
        </w:rPr>
      </w:pPr>
    </w:p>
    <w:p w:rsidR="002B534F" w:rsidRPr="00047B3A" w:rsidRDefault="002B534F" w:rsidP="002B534F">
      <w:pPr>
        <w:spacing w:after="0" w:line="360" w:lineRule="auto"/>
        <w:jc w:val="both"/>
        <w:rPr>
          <w:rFonts w:ascii="Times New Roman" w:hAnsi="Times New Roman" w:cs="Times New Roman"/>
          <w:sz w:val="24"/>
          <w:szCs w:val="24"/>
        </w:rPr>
      </w:pPr>
    </w:p>
    <w:p w:rsidR="002B534F" w:rsidRPr="00047B3A" w:rsidRDefault="002B534F" w:rsidP="002B534F">
      <w:pPr>
        <w:spacing w:after="0" w:line="360" w:lineRule="auto"/>
        <w:jc w:val="both"/>
        <w:rPr>
          <w:rFonts w:ascii="Times New Roman" w:hAnsi="Times New Roman" w:cs="Times New Roman"/>
          <w:sz w:val="24"/>
          <w:szCs w:val="24"/>
        </w:rPr>
      </w:pPr>
    </w:p>
    <w:p w:rsidR="002B534F" w:rsidRPr="00047B3A" w:rsidRDefault="002B534F" w:rsidP="00D5053F">
      <w:pPr>
        <w:spacing w:after="0" w:line="240" w:lineRule="auto"/>
        <w:jc w:val="both"/>
        <w:rPr>
          <w:rFonts w:ascii="Times New Roman" w:hAnsi="Times New Roman" w:cs="Times New Roman"/>
          <w:sz w:val="24"/>
          <w:szCs w:val="24"/>
        </w:rPr>
      </w:pPr>
    </w:p>
    <w:p w:rsidR="00D5053F" w:rsidRPr="00047B3A" w:rsidRDefault="00D5053F" w:rsidP="00D5053F">
      <w:pPr>
        <w:spacing w:after="0" w:line="240" w:lineRule="auto"/>
        <w:jc w:val="both"/>
        <w:rPr>
          <w:rFonts w:ascii="Times New Roman" w:hAnsi="Times New Roman" w:cs="Times New Roman"/>
          <w:sz w:val="24"/>
          <w:szCs w:val="24"/>
        </w:rPr>
      </w:pPr>
      <w:proofErr w:type="spellStart"/>
      <w:r w:rsidRPr="00047B3A">
        <w:rPr>
          <w:rFonts w:ascii="Times New Roman" w:hAnsi="Times New Roman" w:cs="Times New Roman"/>
          <w:i/>
          <w:sz w:val="24"/>
          <w:szCs w:val="24"/>
        </w:rPr>
        <w:t>Mushonga</w:t>
      </w:r>
      <w:proofErr w:type="spellEnd"/>
      <w:r w:rsidRPr="00047B3A">
        <w:rPr>
          <w:rFonts w:ascii="Times New Roman" w:hAnsi="Times New Roman" w:cs="Times New Roman"/>
          <w:i/>
          <w:sz w:val="24"/>
          <w:szCs w:val="24"/>
        </w:rPr>
        <w:t xml:space="preserve"> </w:t>
      </w:r>
      <w:proofErr w:type="spellStart"/>
      <w:r w:rsidRPr="00047B3A">
        <w:rPr>
          <w:rFonts w:ascii="Times New Roman" w:hAnsi="Times New Roman" w:cs="Times New Roman"/>
          <w:i/>
          <w:sz w:val="24"/>
          <w:szCs w:val="24"/>
        </w:rPr>
        <w:t>Mutsvairo</w:t>
      </w:r>
      <w:proofErr w:type="spellEnd"/>
      <w:r w:rsidRPr="00047B3A">
        <w:rPr>
          <w:rFonts w:ascii="Times New Roman" w:hAnsi="Times New Roman" w:cs="Times New Roman"/>
          <w:i/>
          <w:sz w:val="24"/>
          <w:szCs w:val="24"/>
        </w:rPr>
        <w:t xml:space="preserve"> &amp; Associates,</w:t>
      </w:r>
      <w:r w:rsidRPr="00047B3A">
        <w:rPr>
          <w:rFonts w:ascii="Times New Roman" w:hAnsi="Times New Roman" w:cs="Times New Roman"/>
          <w:sz w:val="24"/>
          <w:szCs w:val="24"/>
        </w:rPr>
        <w:t xml:space="preserve"> plaintiff’s legal practitioners</w:t>
      </w:r>
      <w:r w:rsidR="002B534F" w:rsidRPr="00047B3A">
        <w:rPr>
          <w:rFonts w:ascii="Times New Roman" w:hAnsi="Times New Roman" w:cs="Times New Roman"/>
          <w:sz w:val="24"/>
          <w:szCs w:val="24"/>
        </w:rPr>
        <w:t xml:space="preserve"> </w:t>
      </w:r>
    </w:p>
    <w:p w:rsidR="00DE3793" w:rsidRPr="00047B3A" w:rsidRDefault="00D5053F" w:rsidP="00D5053F">
      <w:pPr>
        <w:spacing w:after="0" w:line="240" w:lineRule="auto"/>
        <w:jc w:val="both"/>
        <w:rPr>
          <w:rFonts w:ascii="Times New Roman" w:hAnsi="Times New Roman" w:cs="Times New Roman"/>
          <w:sz w:val="24"/>
          <w:szCs w:val="24"/>
        </w:rPr>
      </w:pPr>
      <w:r w:rsidRPr="00047B3A">
        <w:rPr>
          <w:rFonts w:ascii="Times New Roman" w:hAnsi="Times New Roman" w:cs="Times New Roman"/>
          <w:i/>
          <w:sz w:val="24"/>
          <w:szCs w:val="24"/>
        </w:rPr>
        <w:t>Antonio &amp; Associates</w:t>
      </w:r>
      <w:r w:rsidRPr="00047B3A">
        <w:rPr>
          <w:rFonts w:ascii="Times New Roman" w:hAnsi="Times New Roman" w:cs="Times New Roman"/>
          <w:sz w:val="24"/>
          <w:szCs w:val="24"/>
        </w:rPr>
        <w:t>, defendant’s legal practitioners</w:t>
      </w:r>
      <w:r w:rsidR="00DE3793" w:rsidRPr="00047B3A">
        <w:rPr>
          <w:rFonts w:ascii="Times New Roman" w:hAnsi="Times New Roman" w:cs="Times New Roman"/>
          <w:sz w:val="24"/>
          <w:szCs w:val="24"/>
        </w:rPr>
        <w:t xml:space="preserve"> </w:t>
      </w:r>
    </w:p>
    <w:p w:rsidR="00A05112" w:rsidRPr="00047B3A" w:rsidRDefault="00A05112" w:rsidP="002B534F">
      <w:pPr>
        <w:spacing w:after="0"/>
        <w:rPr>
          <w:rFonts w:ascii="Times New Roman" w:hAnsi="Times New Roman" w:cs="Times New Roman"/>
          <w:sz w:val="24"/>
          <w:szCs w:val="24"/>
        </w:rPr>
      </w:pPr>
    </w:p>
    <w:p w:rsidR="00A05112" w:rsidRPr="00047B3A" w:rsidRDefault="00A05112" w:rsidP="00D25E60">
      <w:pPr>
        <w:spacing w:after="0" w:line="240" w:lineRule="auto"/>
        <w:rPr>
          <w:rFonts w:ascii="Times New Roman" w:hAnsi="Times New Roman" w:cs="Times New Roman"/>
          <w:sz w:val="24"/>
          <w:szCs w:val="24"/>
        </w:rPr>
      </w:pPr>
    </w:p>
    <w:p w:rsidR="00D25E60" w:rsidRPr="00047B3A" w:rsidRDefault="00D25E60" w:rsidP="00D25E60">
      <w:pPr>
        <w:spacing w:after="0" w:line="240" w:lineRule="auto"/>
        <w:rPr>
          <w:rFonts w:ascii="Times New Roman" w:hAnsi="Times New Roman" w:cs="Times New Roman"/>
          <w:sz w:val="24"/>
          <w:szCs w:val="24"/>
        </w:rPr>
      </w:pPr>
    </w:p>
    <w:p w:rsidR="00D25E60" w:rsidRPr="00047B3A" w:rsidRDefault="00D25E60" w:rsidP="00D25E60">
      <w:pPr>
        <w:spacing w:after="0" w:line="240" w:lineRule="auto"/>
        <w:rPr>
          <w:rFonts w:ascii="Times New Roman" w:hAnsi="Times New Roman" w:cs="Times New Roman"/>
          <w:sz w:val="24"/>
          <w:szCs w:val="24"/>
        </w:rPr>
      </w:pPr>
    </w:p>
    <w:p w:rsidR="00D25E60" w:rsidRPr="00047B3A" w:rsidRDefault="00D25E60" w:rsidP="00D25E60">
      <w:pPr>
        <w:spacing w:after="0" w:line="240" w:lineRule="auto"/>
        <w:rPr>
          <w:rFonts w:ascii="Times New Roman" w:hAnsi="Times New Roman" w:cs="Times New Roman"/>
          <w:sz w:val="24"/>
          <w:szCs w:val="24"/>
        </w:rPr>
      </w:pPr>
    </w:p>
    <w:sectPr w:rsidR="00D25E60" w:rsidRPr="00047B3A">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2AA" w:rsidRDefault="009662AA" w:rsidP="005753B5">
      <w:pPr>
        <w:spacing w:after="0" w:line="240" w:lineRule="auto"/>
      </w:pPr>
      <w:r>
        <w:separator/>
      </w:r>
    </w:p>
  </w:endnote>
  <w:endnote w:type="continuationSeparator" w:id="0">
    <w:p w:rsidR="009662AA" w:rsidRDefault="009662AA" w:rsidP="0057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2AA" w:rsidRDefault="009662AA" w:rsidP="005753B5">
      <w:pPr>
        <w:spacing w:after="0" w:line="240" w:lineRule="auto"/>
      </w:pPr>
      <w:r>
        <w:separator/>
      </w:r>
    </w:p>
  </w:footnote>
  <w:footnote w:type="continuationSeparator" w:id="0">
    <w:p w:rsidR="009662AA" w:rsidRDefault="009662AA" w:rsidP="005753B5">
      <w:pPr>
        <w:spacing w:after="0" w:line="240" w:lineRule="auto"/>
      </w:pPr>
      <w:r>
        <w:continuationSeparator/>
      </w:r>
    </w:p>
  </w:footnote>
  <w:footnote w:id="1">
    <w:p w:rsidR="005753B5" w:rsidRDefault="005753B5">
      <w:pPr>
        <w:pStyle w:val="FootnoteText"/>
      </w:pPr>
      <w:r>
        <w:rPr>
          <w:rStyle w:val="FootnoteReference"/>
        </w:rPr>
        <w:footnoteRef/>
      </w:r>
      <w:r>
        <w:t xml:space="preserve"> The Prescription Act Chapter 8:11</w:t>
      </w:r>
    </w:p>
  </w:footnote>
  <w:footnote w:id="2">
    <w:p w:rsidR="003A40FE" w:rsidRDefault="003A40FE">
      <w:pPr>
        <w:pStyle w:val="FootnoteText"/>
      </w:pPr>
      <w:r>
        <w:rPr>
          <w:rStyle w:val="FootnoteReference"/>
        </w:rPr>
        <w:footnoteRef/>
      </w:r>
      <w:r>
        <w:t xml:space="preserve"> 1998(2) ZLR 92(H)</w:t>
      </w:r>
    </w:p>
  </w:footnote>
  <w:footnote w:id="3">
    <w:p w:rsidR="00D97F28" w:rsidRDefault="00D97F28">
      <w:pPr>
        <w:pStyle w:val="FootnoteText"/>
      </w:pPr>
      <w:r>
        <w:rPr>
          <w:rStyle w:val="FootnoteReference"/>
        </w:rPr>
        <w:footnoteRef/>
      </w:r>
      <w:r>
        <w:t xml:space="preserve"> 1988(2) ZLR 83 (HC)</w:t>
      </w:r>
    </w:p>
  </w:footnote>
  <w:footnote w:id="4">
    <w:p w:rsidR="00B23757" w:rsidRDefault="00B23757">
      <w:pPr>
        <w:pStyle w:val="FootnoteText"/>
      </w:pPr>
      <w:r>
        <w:rPr>
          <w:rStyle w:val="FootnoteReference"/>
        </w:rPr>
        <w:footnoteRef/>
      </w:r>
      <w:r>
        <w:t xml:space="preserve"> </w:t>
      </w:r>
      <w:proofErr w:type="spellStart"/>
      <w:r>
        <w:t>Lovemore</w:t>
      </w:r>
      <w:proofErr w:type="spellEnd"/>
      <w:r>
        <w:t xml:space="preserve"> Sango v Chairman of Public Service Commission and </w:t>
      </w:r>
      <w:proofErr w:type="spellStart"/>
      <w:r>
        <w:t>Anor</w:t>
      </w:r>
      <w:proofErr w:type="spellEnd"/>
      <w:r>
        <w:t xml:space="preserve"> HH 28-96</w:t>
      </w:r>
    </w:p>
  </w:footnote>
  <w:footnote w:id="5">
    <w:p w:rsidR="007656F8" w:rsidRDefault="007656F8">
      <w:pPr>
        <w:pStyle w:val="FootnoteText"/>
      </w:pPr>
      <w:r>
        <w:rPr>
          <w:rStyle w:val="FootnoteReference"/>
        </w:rPr>
        <w:footnoteRef/>
      </w:r>
      <w:r>
        <w:t xml:space="preserve"> </w:t>
      </w:r>
      <w:proofErr w:type="gramStart"/>
      <w:r>
        <w:t>In The Kwazulu-Natal High Court, Durban Republic of South Africa; Case No. 8945/2006</w:t>
      </w:r>
      <w:r w:rsidR="006F7863">
        <w:t>.</w:t>
      </w:r>
      <w:proofErr w:type="gramEnd"/>
      <w:r w:rsidR="00247DFC">
        <w:t xml:space="preserve"> </w:t>
      </w:r>
      <w:r w:rsidR="006F7863">
        <w:t xml:space="preserve"> In </w:t>
      </w:r>
      <w:r w:rsidR="00247DFC">
        <w:t xml:space="preserve">the matter between BBS </w:t>
      </w:r>
      <w:proofErr w:type="spellStart"/>
      <w:r w:rsidR="00247DFC">
        <w:t>Empangani</w:t>
      </w:r>
      <w:proofErr w:type="spellEnd"/>
      <w:r w:rsidR="00247DFC">
        <w:t xml:space="preserve"> (formerly Z.T.C. Cashbuild cc) and Phoenix Industrial Park (Pty) Ltd and </w:t>
      </w:r>
      <w:proofErr w:type="spellStart"/>
      <w:r w:rsidR="00247DFC">
        <w:t>Morcland</w:t>
      </w:r>
      <w:proofErr w:type="spellEnd"/>
      <w:r w:rsidR="00247DFC">
        <w:t xml:space="preserve"> Estates (Pty) Ltd p. 51 of the cyclostyled judgment</w:t>
      </w:r>
      <w:r w:rsidR="006F7863">
        <w:t xml:space="preserve"> </w:t>
      </w:r>
    </w:p>
  </w:footnote>
  <w:footnote w:id="6">
    <w:p w:rsidR="009355FC" w:rsidRDefault="009355FC">
      <w:pPr>
        <w:pStyle w:val="FootnoteText"/>
      </w:pPr>
      <w:r>
        <w:rPr>
          <w:rStyle w:val="FootnoteReference"/>
        </w:rPr>
        <w:footnoteRef/>
      </w:r>
      <w:r>
        <w:t xml:space="preserve"> 1984(1) SA 571(A) at 578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834713"/>
      <w:docPartObj>
        <w:docPartGallery w:val="Page Numbers (Top of Page)"/>
        <w:docPartUnique/>
      </w:docPartObj>
    </w:sdtPr>
    <w:sdtEndPr>
      <w:rPr>
        <w:noProof/>
      </w:rPr>
    </w:sdtEndPr>
    <w:sdtContent>
      <w:p w:rsidR="00D20948" w:rsidRDefault="00D20948">
        <w:pPr>
          <w:pStyle w:val="Header"/>
          <w:jc w:val="right"/>
          <w:rPr>
            <w:noProof/>
          </w:rPr>
        </w:pPr>
        <w:r>
          <w:fldChar w:fldCharType="begin"/>
        </w:r>
        <w:r>
          <w:instrText xml:space="preserve"> PAGE   \* MERGEFORMAT </w:instrText>
        </w:r>
        <w:r>
          <w:fldChar w:fldCharType="separate"/>
        </w:r>
        <w:r w:rsidR="00555266">
          <w:rPr>
            <w:noProof/>
          </w:rPr>
          <w:t>1</w:t>
        </w:r>
        <w:r>
          <w:rPr>
            <w:noProof/>
          </w:rPr>
          <w:fldChar w:fldCharType="end"/>
        </w:r>
      </w:p>
      <w:p w:rsidR="00922B26" w:rsidRDefault="00922B26">
        <w:pPr>
          <w:pStyle w:val="Header"/>
          <w:jc w:val="right"/>
          <w:rPr>
            <w:noProof/>
          </w:rPr>
        </w:pPr>
        <w:r>
          <w:rPr>
            <w:noProof/>
          </w:rPr>
          <w:t>HH 231-12</w:t>
        </w:r>
      </w:p>
      <w:p w:rsidR="00D20948" w:rsidRDefault="00D20948">
        <w:pPr>
          <w:pStyle w:val="Header"/>
          <w:jc w:val="right"/>
        </w:pPr>
        <w:r>
          <w:rPr>
            <w:noProof/>
          </w:rPr>
          <w:t>HC 3878/08</w:t>
        </w:r>
      </w:p>
    </w:sdtContent>
  </w:sdt>
  <w:p w:rsidR="00D20948" w:rsidRDefault="00D209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F7E2D"/>
    <w:multiLevelType w:val="hybridMultilevel"/>
    <w:tmpl w:val="DCCC24DA"/>
    <w:lvl w:ilvl="0" w:tplc="F676BFCE">
      <w:start w:val="1"/>
      <w:numFmt w:val="upp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5E6F22F0"/>
    <w:multiLevelType w:val="hybridMultilevel"/>
    <w:tmpl w:val="6AA49D5E"/>
    <w:lvl w:ilvl="0" w:tplc="34B2EB9C">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E60"/>
    <w:rsid w:val="00023EEC"/>
    <w:rsid w:val="00047B3A"/>
    <w:rsid w:val="00071CFA"/>
    <w:rsid w:val="000B558F"/>
    <w:rsid w:val="00102CD6"/>
    <w:rsid w:val="00247DFC"/>
    <w:rsid w:val="002608C1"/>
    <w:rsid w:val="002B534F"/>
    <w:rsid w:val="002F7739"/>
    <w:rsid w:val="003273BC"/>
    <w:rsid w:val="00374A7B"/>
    <w:rsid w:val="003A40FE"/>
    <w:rsid w:val="004B238D"/>
    <w:rsid w:val="00555266"/>
    <w:rsid w:val="005753B5"/>
    <w:rsid w:val="005B029C"/>
    <w:rsid w:val="006D52D9"/>
    <w:rsid w:val="006F7863"/>
    <w:rsid w:val="007251EA"/>
    <w:rsid w:val="007656F8"/>
    <w:rsid w:val="007A47BF"/>
    <w:rsid w:val="00813EEE"/>
    <w:rsid w:val="00922B26"/>
    <w:rsid w:val="009355FC"/>
    <w:rsid w:val="009645B2"/>
    <w:rsid w:val="009662AA"/>
    <w:rsid w:val="00A05112"/>
    <w:rsid w:val="00A76175"/>
    <w:rsid w:val="00AB3643"/>
    <w:rsid w:val="00B23757"/>
    <w:rsid w:val="00C13CA8"/>
    <w:rsid w:val="00C770C2"/>
    <w:rsid w:val="00C91C7C"/>
    <w:rsid w:val="00CA636E"/>
    <w:rsid w:val="00CE0248"/>
    <w:rsid w:val="00D20948"/>
    <w:rsid w:val="00D25E60"/>
    <w:rsid w:val="00D5053F"/>
    <w:rsid w:val="00D97F28"/>
    <w:rsid w:val="00DC7ABE"/>
    <w:rsid w:val="00DE3793"/>
    <w:rsid w:val="00EC29A2"/>
    <w:rsid w:val="00EF4862"/>
    <w:rsid w:val="00FC1B59"/>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EC"/>
    <w:pPr>
      <w:ind w:left="720"/>
      <w:contextualSpacing/>
    </w:pPr>
  </w:style>
  <w:style w:type="paragraph" w:styleId="FootnoteText">
    <w:name w:val="footnote text"/>
    <w:basedOn w:val="Normal"/>
    <w:link w:val="FootnoteTextChar"/>
    <w:uiPriority w:val="99"/>
    <w:semiHidden/>
    <w:unhideWhenUsed/>
    <w:rsid w:val="00575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53B5"/>
    <w:rPr>
      <w:sz w:val="20"/>
      <w:szCs w:val="20"/>
    </w:rPr>
  </w:style>
  <w:style w:type="character" w:styleId="FootnoteReference">
    <w:name w:val="footnote reference"/>
    <w:basedOn w:val="DefaultParagraphFont"/>
    <w:uiPriority w:val="99"/>
    <w:semiHidden/>
    <w:unhideWhenUsed/>
    <w:rsid w:val="005753B5"/>
    <w:rPr>
      <w:vertAlign w:val="superscript"/>
    </w:rPr>
  </w:style>
  <w:style w:type="paragraph" w:styleId="Header">
    <w:name w:val="header"/>
    <w:basedOn w:val="Normal"/>
    <w:link w:val="HeaderChar"/>
    <w:uiPriority w:val="99"/>
    <w:unhideWhenUsed/>
    <w:rsid w:val="00D209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948"/>
  </w:style>
  <w:style w:type="paragraph" w:styleId="Footer">
    <w:name w:val="footer"/>
    <w:basedOn w:val="Normal"/>
    <w:link w:val="FooterChar"/>
    <w:uiPriority w:val="99"/>
    <w:unhideWhenUsed/>
    <w:rsid w:val="00D209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9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EC"/>
    <w:pPr>
      <w:ind w:left="720"/>
      <w:contextualSpacing/>
    </w:pPr>
  </w:style>
  <w:style w:type="paragraph" w:styleId="FootnoteText">
    <w:name w:val="footnote text"/>
    <w:basedOn w:val="Normal"/>
    <w:link w:val="FootnoteTextChar"/>
    <w:uiPriority w:val="99"/>
    <w:semiHidden/>
    <w:unhideWhenUsed/>
    <w:rsid w:val="00575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53B5"/>
    <w:rPr>
      <w:sz w:val="20"/>
      <w:szCs w:val="20"/>
    </w:rPr>
  </w:style>
  <w:style w:type="character" w:styleId="FootnoteReference">
    <w:name w:val="footnote reference"/>
    <w:basedOn w:val="DefaultParagraphFont"/>
    <w:uiPriority w:val="99"/>
    <w:semiHidden/>
    <w:unhideWhenUsed/>
    <w:rsid w:val="005753B5"/>
    <w:rPr>
      <w:vertAlign w:val="superscript"/>
    </w:rPr>
  </w:style>
  <w:style w:type="paragraph" w:styleId="Header">
    <w:name w:val="header"/>
    <w:basedOn w:val="Normal"/>
    <w:link w:val="HeaderChar"/>
    <w:uiPriority w:val="99"/>
    <w:unhideWhenUsed/>
    <w:rsid w:val="00D209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948"/>
  </w:style>
  <w:style w:type="paragraph" w:styleId="Footer">
    <w:name w:val="footer"/>
    <w:basedOn w:val="Normal"/>
    <w:link w:val="FooterChar"/>
    <w:uiPriority w:val="99"/>
    <w:unhideWhenUsed/>
    <w:rsid w:val="00D209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BC350-3C78-45EB-A9D2-9A15C4DC6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2012-06-04T08:20:00Z</dcterms:created>
  <dcterms:modified xsi:type="dcterms:W3CDTF">2013-10-17T08:11:00Z</dcterms:modified>
</cp:coreProperties>
</file>